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7ACA0" w14:textId="72E4B2E1" w:rsidR="000B4207" w:rsidRPr="000B4207" w:rsidRDefault="00F22CED" w:rsidP="008327A9">
      <w:pPr>
        <w:tabs>
          <w:tab w:val="center" w:pos="4536"/>
          <w:tab w:val="right" w:pos="9630"/>
        </w:tabs>
        <w:spacing w:after="0" w:line="259" w:lineRule="auto"/>
        <w:rPr>
          <w:rFonts w:ascii="Arial" w:hAnsi="Arial" w:cs="Arial"/>
          <w:b/>
          <w:bCs/>
          <w:sz w:val="24"/>
          <w:szCs w:val="24"/>
        </w:rPr>
      </w:pPr>
      <w:r>
        <w:rPr>
          <w:rFonts w:ascii="Arial" w:hAnsi="Arial" w:cs="Arial"/>
          <w:b/>
          <w:bCs/>
          <w:sz w:val="24"/>
          <w:szCs w:val="24"/>
        </w:rPr>
        <w:t>3GPP TSG RAN WG1</w:t>
      </w:r>
      <w:r w:rsidR="00CA3A0A">
        <w:rPr>
          <w:rFonts w:ascii="Arial" w:hAnsi="Arial" w:cs="Arial"/>
          <w:b/>
          <w:bCs/>
          <w:sz w:val="24"/>
          <w:szCs w:val="24"/>
        </w:rPr>
        <w:t xml:space="preserve"> Meeting </w:t>
      </w:r>
      <w:r>
        <w:rPr>
          <w:rFonts w:ascii="Arial" w:hAnsi="Arial" w:cs="Arial"/>
          <w:b/>
          <w:bCs/>
          <w:sz w:val="24"/>
          <w:szCs w:val="24"/>
        </w:rPr>
        <w:t>#9</w:t>
      </w:r>
      <w:r w:rsidR="00960CB3">
        <w:rPr>
          <w:rFonts w:ascii="Arial" w:hAnsi="Arial" w:cs="Arial"/>
          <w:b/>
          <w:bCs/>
          <w:sz w:val="24"/>
          <w:szCs w:val="24"/>
        </w:rPr>
        <w:t>3</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304C82">
        <w:rPr>
          <w:rFonts w:ascii="Arial" w:eastAsia="MS Mincho" w:hAnsi="Arial" w:cs="Arial"/>
          <w:b/>
          <w:bCs/>
          <w:sz w:val="24"/>
          <w:szCs w:val="24"/>
          <w:lang w:eastAsia="ja-JP"/>
        </w:rPr>
        <w:t>R1-1806</w:t>
      </w:r>
      <w:r w:rsidR="00776085" w:rsidRPr="00304C82">
        <w:rPr>
          <w:rFonts w:ascii="Arial" w:eastAsia="MS Mincho" w:hAnsi="Arial" w:cs="Arial"/>
          <w:b/>
          <w:bCs/>
          <w:sz w:val="24"/>
          <w:szCs w:val="24"/>
          <w:lang w:eastAsia="ja-JP"/>
        </w:rPr>
        <w:t>657</w:t>
      </w:r>
    </w:p>
    <w:p w14:paraId="3D4EE5DD" w14:textId="1DC0E907" w:rsidR="000B4207" w:rsidRPr="008327A9" w:rsidRDefault="00960CB3" w:rsidP="008327A9">
      <w:pPr>
        <w:pStyle w:val="Header"/>
        <w:rPr>
          <w:rFonts w:eastAsia="MS Mincho" w:cs="Arial"/>
          <w:bCs/>
          <w:noProof w:val="0"/>
          <w:sz w:val="24"/>
          <w:lang w:val="en-GB" w:eastAsia="ja-JP"/>
        </w:rPr>
      </w:pPr>
      <w:r>
        <w:rPr>
          <w:rFonts w:cs="Arial"/>
          <w:bCs/>
          <w:noProof w:val="0"/>
          <w:sz w:val="24"/>
          <w:lang w:val="en-GB"/>
        </w:rPr>
        <w:t>Busan</w:t>
      </w:r>
      <w:r w:rsidRPr="008824AD">
        <w:rPr>
          <w:rFonts w:cs="Arial"/>
          <w:bCs/>
          <w:noProof w:val="0"/>
          <w:sz w:val="24"/>
          <w:lang w:val="en-GB"/>
        </w:rPr>
        <w:t xml:space="preserve">, </w:t>
      </w:r>
      <w:r>
        <w:rPr>
          <w:rFonts w:cs="Arial"/>
          <w:bCs/>
          <w:noProof w:val="0"/>
          <w:sz w:val="24"/>
          <w:lang w:val="en-GB"/>
        </w:rPr>
        <w:t>Republic of Korea</w:t>
      </w:r>
      <w:r w:rsidRPr="008824AD">
        <w:rPr>
          <w:rFonts w:cs="Arial"/>
          <w:bCs/>
          <w:noProof w:val="0"/>
          <w:sz w:val="24"/>
          <w:lang w:val="en-GB"/>
        </w:rPr>
        <w:t xml:space="preserve">, </w:t>
      </w:r>
      <w:r>
        <w:rPr>
          <w:rFonts w:cs="Arial"/>
          <w:bCs/>
          <w:noProof w:val="0"/>
          <w:sz w:val="24"/>
          <w:lang w:val="en-GB"/>
        </w:rPr>
        <w:t>May</w:t>
      </w:r>
      <w:r w:rsidRPr="008824AD">
        <w:rPr>
          <w:rFonts w:cs="Arial"/>
          <w:bCs/>
          <w:noProof w:val="0"/>
          <w:sz w:val="24"/>
          <w:lang w:val="en-GB"/>
        </w:rPr>
        <w:t xml:space="preserve"> </w:t>
      </w:r>
      <w:r>
        <w:rPr>
          <w:rFonts w:cs="Arial"/>
          <w:bCs/>
          <w:noProof w:val="0"/>
          <w:sz w:val="24"/>
          <w:lang w:val="en-GB"/>
        </w:rPr>
        <w:t>21</w:t>
      </w:r>
      <w:r w:rsidRPr="00106C4B">
        <w:rPr>
          <w:rFonts w:cs="Arial"/>
          <w:bCs/>
          <w:noProof w:val="0"/>
          <w:sz w:val="24"/>
          <w:vertAlign w:val="superscript"/>
          <w:lang w:val="en-GB"/>
        </w:rPr>
        <w:t>st</w:t>
      </w:r>
      <w:r w:rsidRPr="008824AD">
        <w:rPr>
          <w:rFonts w:cs="Arial"/>
          <w:bCs/>
          <w:noProof w:val="0"/>
          <w:sz w:val="24"/>
          <w:lang w:val="en-GB"/>
        </w:rPr>
        <w:t xml:space="preserve"> – 2</w:t>
      </w:r>
      <w:r>
        <w:rPr>
          <w:rFonts w:cs="Arial"/>
          <w:bCs/>
          <w:noProof w:val="0"/>
          <w:sz w:val="24"/>
          <w:lang w:val="en-GB"/>
        </w:rPr>
        <w:t>5</w:t>
      </w:r>
      <w:r w:rsidRPr="00106C4B">
        <w:rPr>
          <w:rFonts w:cs="Arial"/>
          <w:bCs/>
          <w:noProof w:val="0"/>
          <w:sz w:val="24"/>
          <w:vertAlign w:val="superscript"/>
          <w:lang w:val="en-GB"/>
        </w:rPr>
        <w:t>th</w:t>
      </w:r>
      <w:r w:rsidRPr="008824AD">
        <w:rPr>
          <w:rFonts w:cs="Arial"/>
          <w:bCs/>
          <w:noProof w:val="0"/>
          <w:sz w:val="24"/>
          <w:lang w:val="en-GB"/>
        </w:rPr>
        <w:t>, 2018</w:t>
      </w:r>
    </w:p>
    <w:p w14:paraId="30E02940" w14:textId="77777777" w:rsidR="00CA26CE" w:rsidRPr="0016316A" w:rsidRDefault="00CA26CE" w:rsidP="00CA26CE">
      <w:pPr>
        <w:pStyle w:val="Header"/>
        <w:rPr>
          <w:bCs/>
          <w:noProof w:val="0"/>
          <w:sz w:val="24"/>
          <w:lang w:val="en-GB" w:eastAsia="ja-JP"/>
        </w:rPr>
      </w:pPr>
    </w:p>
    <w:p w14:paraId="30E02941" w14:textId="2FBD2EFA"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F22CED">
        <w:rPr>
          <w:rFonts w:cs="Arial"/>
          <w:b/>
          <w:bCs/>
          <w:sz w:val="24"/>
          <w:szCs w:val="24"/>
        </w:rPr>
        <w:t>1.</w:t>
      </w:r>
      <w:r w:rsidR="0052773A" w:rsidRPr="3E61DC49">
        <w:rPr>
          <w:rFonts w:cs="Arial"/>
          <w:b/>
          <w:bCs/>
          <w:sz w:val="24"/>
          <w:szCs w:val="24"/>
        </w:rPr>
        <w:t>3.</w:t>
      </w:r>
      <w:r w:rsidR="00AA12D0">
        <w:rPr>
          <w:rFonts w:cs="Arial"/>
          <w:b/>
          <w:bCs/>
          <w:sz w:val="24"/>
          <w:szCs w:val="24"/>
        </w:rPr>
        <w:t>1.4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0F2B66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60CB3">
        <w:rPr>
          <w:rFonts w:ascii="Arial" w:hAnsi="Arial" w:cs="Arial"/>
          <w:b/>
          <w:bCs/>
          <w:sz w:val="24"/>
        </w:rPr>
        <w:t>On the remaining issues for DCI format sizes and contents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1BAB217E" w14:textId="288E4470" w:rsidR="0023652F" w:rsidRDefault="00787909" w:rsidP="0023652F">
      <w:r>
        <w:rPr>
          <w:rFonts w:eastAsia="Times New Roman"/>
        </w:rPr>
        <w:t>For Rel-</w:t>
      </w:r>
      <w:r w:rsidR="00DE5685">
        <w:rPr>
          <w:rFonts w:eastAsia="Times New Roman"/>
        </w:rPr>
        <w:t>15 NR</w:t>
      </w:r>
      <w:r>
        <w:rPr>
          <w:rFonts w:eastAsia="Times New Roman"/>
        </w:rPr>
        <w:t>,</w:t>
      </w:r>
      <w:r w:rsidR="008B2B4D">
        <w:rPr>
          <w:rFonts w:eastAsia="Times New Roman"/>
        </w:rPr>
        <w:t xml:space="preserve"> w</w:t>
      </w:r>
      <w:r w:rsidR="0023652F">
        <w:t>e have agreed on the following regarding the DCI format sizes:</w:t>
      </w:r>
    </w:p>
    <w:p w14:paraId="76F2951F" w14:textId="058A34B3" w:rsidR="00C32891" w:rsidRPr="00C32891" w:rsidRDefault="00C32891" w:rsidP="00C32891">
      <w:pPr>
        <w:overflowPunct/>
        <w:autoSpaceDE/>
        <w:autoSpaceDN/>
        <w:adjustRightInd/>
        <w:spacing w:after="0"/>
        <w:ind w:left="1288" w:hanging="720"/>
        <w:textAlignment w:val="auto"/>
        <w:rPr>
          <w:rFonts w:ascii="Times" w:eastAsia="Batang" w:hAnsi="Times"/>
          <w:i/>
          <w:sz w:val="18"/>
          <w:highlight w:val="green"/>
          <w:lang w:eastAsia="x-none"/>
        </w:rPr>
      </w:pPr>
      <w:r w:rsidRPr="00C32891">
        <w:rPr>
          <w:rFonts w:ascii="Times" w:eastAsia="Batang" w:hAnsi="Times"/>
          <w:i/>
          <w:sz w:val="18"/>
          <w:highlight w:val="green"/>
          <w:lang w:eastAsia="x-none"/>
        </w:rPr>
        <w:t>Agreements:</w:t>
      </w:r>
      <w:r w:rsidR="00A812AE">
        <w:rPr>
          <w:i/>
          <w:sz w:val="18"/>
          <w:lang w:eastAsia="x-none"/>
        </w:rPr>
        <w:t xml:space="preserve"> (RAN1#92bis</w:t>
      </w:r>
      <w:r w:rsidR="00A812AE" w:rsidRPr="00A812AE">
        <w:rPr>
          <w:i/>
          <w:sz w:val="18"/>
          <w:lang w:eastAsia="x-none"/>
        </w:rPr>
        <w:t>)</w:t>
      </w:r>
    </w:p>
    <w:p w14:paraId="534FB022" w14:textId="77777777" w:rsidR="00C32891" w:rsidRPr="00C32891" w:rsidRDefault="00C32891" w:rsidP="00C32891">
      <w:pPr>
        <w:numPr>
          <w:ilvl w:val="0"/>
          <w:numId w:val="26"/>
        </w:numPr>
        <w:overflowPunct/>
        <w:autoSpaceDE/>
        <w:autoSpaceDN/>
        <w:adjustRightInd/>
        <w:spacing w:after="0"/>
        <w:ind w:left="1288"/>
        <w:textAlignment w:val="auto"/>
        <w:rPr>
          <w:rFonts w:ascii="Times" w:eastAsia="Batang" w:hAnsi="Times"/>
          <w:i/>
          <w:sz w:val="18"/>
          <w:lang w:eastAsia="x-none"/>
        </w:rPr>
      </w:pPr>
      <w:r w:rsidRPr="00C32891">
        <w:rPr>
          <w:rFonts w:ascii="Times" w:eastAsia="Batang" w:hAnsi="Times"/>
          <w:i/>
          <w:sz w:val="18"/>
          <w:lang w:eastAsia="x-none"/>
        </w:rPr>
        <w:t>To confirm the following working assumption:</w:t>
      </w:r>
    </w:p>
    <w:p w14:paraId="3324FB84" w14:textId="77777777" w:rsidR="00C32891" w:rsidRPr="00C32891" w:rsidRDefault="00C32891" w:rsidP="00C32891">
      <w:pPr>
        <w:numPr>
          <w:ilvl w:val="0"/>
          <w:numId w:val="17"/>
        </w:numPr>
        <w:overflowPunct/>
        <w:autoSpaceDE/>
        <w:autoSpaceDN/>
        <w:adjustRightInd/>
        <w:spacing w:after="120"/>
        <w:ind w:left="2368"/>
        <w:jc w:val="both"/>
        <w:textAlignment w:val="auto"/>
        <w:rPr>
          <w:rFonts w:ascii="Times" w:eastAsia="Batang" w:hAnsi="Times"/>
          <w:i/>
          <w:sz w:val="18"/>
          <w:lang w:eastAsia="x-none"/>
        </w:rPr>
      </w:pPr>
      <w:r w:rsidRPr="00C32891">
        <w:rPr>
          <w:rFonts w:ascii="Times" w:eastAsia="Batang" w:hAnsi="Times"/>
          <w:i/>
          <w:sz w:val="18"/>
          <w:lang w:eastAsia="x-none"/>
        </w:rPr>
        <w:t xml:space="preserve"> (</w:t>
      </w:r>
      <w:r w:rsidRPr="00C32891">
        <w:rPr>
          <w:rFonts w:ascii="Times" w:eastAsia="Batang" w:hAnsi="Times"/>
          <w:i/>
          <w:sz w:val="18"/>
          <w:highlight w:val="darkYellow"/>
          <w:lang w:eastAsia="x-none"/>
        </w:rPr>
        <w:t>working assumption</w:t>
      </w:r>
      <w:r w:rsidRPr="00C32891">
        <w:rPr>
          <w:rFonts w:ascii="Times" w:eastAsia="Batang" w:hAnsi="Times"/>
          <w:i/>
          <w:sz w:val="18"/>
          <w:lang w:eastAsia="x-none"/>
        </w:rPr>
        <w:t>) At most 4 different DCI sizes are monitored by the UE per slot</w:t>
      </w:r>
    </w:p>
    <w:p w14:paraId="2CD1D7C3" w14:textId="77777777" w:rsidR="00C32891" w:rsidRPr="00C32891" w:rsidRDefault="00C32891" w:rsidP="00C32891">
      <w:pPr>
        <w:numPr>
          <w:ilvl w:val="1"/>
          <w:numId w:val="17"/>
        </w:numPr>
        <w:overflowPunct/>
        <w:autoSpaceDE/>
        <w:autoSpaceDN/>
        <w:adjustRightInd/>
        <w:spacing w:after="120"/>
        <w:ind w:left="3088"/>
        <w:jc w:val="both"/>
        <w:textAlignment w:val="auto"/>
        <w:rPr>
          <w:rFonts w:ascii="Times" w:eastAsia="Batang" w:hAnsi="Times"/>
          <w:i/>
          <w:sz w:val="18"/>
          <w:lang w:eastAsia="x-none"/>
        </w:rPr>
      </w:pPr>
      <w:r w:rsidRPr="00C32891">
        <w:rPr>
          <w:rFonts w:ascii="Times" w:eastAsia="Batang" w:hAnsi="Times"/>
          <w:i/>
          <w:sz w:val="18"/>
          <w:lang w:eastAsia="x-none"/>
        </w:rPr>
        <w:t>At most 3 different DCI sizes are monitored per C-RNTI per slot</w:t>
      </w:r>
    </w:p>
    <w:p w14:paraId="094F2165" w14:textId="4D27A8F9" w:rsidR="00C32891" w:rsidRPr="00C32891" w:rsidRDefault="00C32891" w:rsidP="00C32891">
      <w:pPr>
        <w:overflowPunct/>
        <w:autoSpaceDE/>
        <w:autoSpaceDN/>
        <w:adjustRightInd/>
        <w:spacing w:after="0"/>
        <w:ind w:left="568"/>
        <w:textAlignment w:val="auto"/>
        <w:rPr>
          <w:rFonts w:ascii="Times" w:eastAsia="Batang" w:hAnsi="Times"/>
          <w:i/>
          <w:sz w:val="18"/>
        </w:rPr>
      </w:pPr>
      <w:r w:rsidRPr="00C32891">
        <w:rPr>
          <w:rFonts w:ascii="Times" w:eastAsia="Batang" w:hAnsi="Times"/>
          <w:b/>
          <w:i/>
          <w:sz w:val="18"/>
          <w:u w:val="single"/>
        </w:rPr>
        <w:t>Conclusion</w:t>
      </w:r>
      <w:r w:rsidRPr="00C32891">
        <w:rPr>
          <w:rFonts w:ascii="Times" w:eastAsia="Batang" w:hAnsi="Times"/>
          <w:i/>
          <w:sz w:val="18"/>
        </w:rPr>
        <w:t>:</w:t>
      </w:r>
      <w:r w:rsidR="00A812AE">
        <w:rPr>
          <w:i/>
          <w:sz w:val="18"/>
          <w:lang w:eastAsia="x-none"/>
        </w:rPr>
        <w:t xml:space="preserve"> (RAN1#92bis</w:t>
      </w:r>
      <w:r w:rsidR="00A812AE" w:rsidRPr="00A812AE">
        <w:rPr>
          <w:i/>
          <w:sz w:val="18"/>
          <w:lang w:eastAsia="x-none"/>
        </w:rPr>
        <w:t>)</w:t>
      </w:r>
    </w:p>
    <w:p w14:paraId="3BC0D318" w14:textId="77777777" w:rsidR="00C32891" w:rsidRPr="00C32891" w:rsidRDefault="00C32891" w:rsidP="00C32891">
      <w:pPr>
        <w:numPr>
          <w:ilvl w:val="0"/>
          <w:numId w:val="26"/>
        </w:numPr>
        <w:overflowPunct/>
        <w:autoSpaceDE/>
        <w:autoSpaceDN/>
        <w:adjustRightInd/>
        <w:spacing w:after="120"/>
        <w:ind w:left="1288"/>
        <w:jc w:val="both"/>
        <w:textAlignment w:val="auto"/>
        <w:rPr>
          <w:rFonts w:ascii="Times" w:eastAsia="Batang" w:hAnsi="Times"/>
          <w:i/>
          <w:sz w:val="18"/>
          <w:lang w:eastAsia="x-none"/>
        </w:rPr>
      </w:pPr>
      <w:r w:rsidRPr="00C32891">
        <w:rPr>
          <w:rFonts w:ascii="Times" w:eastAsia="Batang" w:hAnsi="Times"/>
          <w:i/>
          <w:sz w:val="18"/>
          <w:lang w:eastAsia="x-none"/>
        </w:rPr>
        <w:t>It is understood that DCI sizes to monitor do not vary dynamically from slot-to-slot (other than impact due to BWP switching) but are based on RRC configuration, CSS vs. USS, and/or active BWP.</w:t>
      </w:r>
    </w:p>
    <w:p w14:paraId="11EFAEBF" w14:textId="0974492B" w:rsidR="00C32891" w:rsidRPr="00C32891" w:rsidRDefault="00C32891" w:rsidP="00C32891">
      <w:pPr>
        <w:overflowPunct/>
        <w:autoSpaceDE/>
        <w:autoSpaceDN/>
        <w:adjustRightInd/>
        <w:spacing w:after="0"/>
        <w:ind w:left="568"/>
        <w:textAlignment w:val="auto"/>
        <w:rPr>
          <w:rFonts w:ascii="Times" w:eastAsia="Batang" w:hAnsi="Times"/>
          <w:i/>
          <w:szCs w:val="24"/>
        </w:rPr>
      </w:pPr>
      <w:r w:rsidRPr="00C32891">
        <w:rPr>
          <w:rFonts w:ascii="Times" w:eastAsia="Batang" w:hAnsi="Times"/>
          <w:i/>
          <w:szCs w:val="24"/>
          <w:highlight w:val="green"/>
        </w:rPr>
        <w:t>Agreements</w:t>
      </w:r>
      <w:r w:rsidRPr="00C32891">
        <w:rPr>
          <w:rFonts w:ascii="Times" w:eastAsia="Batang" w:hAnsi="Times"/>
          <w:i/>
          <w:szCs w:val="24"/>
        </w:rPr>
        <w:t>:</w:t>
      </w:r>
      <w:r w:rsidR="00A812AE">
        <w:rPr>
          <w:i/>
          <w:sz w:val="18"/>
          <w:lang w:eastAsia="x-none"/>
        </w:rPr>
        <w:t xml:space="preserve"> (RAN1#92bis</w:t>
      </w:r>
      <w:r w:rsidR="00A812AE" w:rsidRPr="00A812AE">
        <w:rPr>
          <w:i/>
          <w:sz w:val="18"/>
          <w:lang w:eastAsia="x-none"/>
        </w:rPr>
        <w:t>)</w:t>
      </w:r>
    </w:p>
    <w:p w14:paraId="330FA33D" w14:textId="77777777" w:rsidR="00C32891" w:rsidRPr="00C32891" w:rsidRDefault="00C32891" w:rsidP="00C32891">
      <w:pPr>
        <w:numPr>
          <w:ilvl w:val="0"/>
          <w:numId w:val="26"/>
        </w:numPr>
        <w:overflowPunct/>
        <w:autoSpaceDE/>
        <w:autoSpaceDN/>
        <w:adjustRightInd/>
        <w:spacing w:after="0"/>
        <w:ind w:left="1288"/>
        <w:textAlignment w:val="auto"/>
        <w:rPr>
          <w:rFonts w:ascii="Times" w:eastAsia="Batang" w:hAnsi="Times"/>
          <w:i/>
          <w:sz w:val="18"/>
        </w:rPr>
      </w:pPr>
      <w:r w:rsidRPr="00C32891">
        <w:rPr>
          <w:rFonts w:ascii="Times" w:eastAsia="Batang" w:hAnsi="Times"/>
          <w:i/>
          <w:sz w:val="18"/>
        </w:rPr>
        <w:t>To confirm the following working assumption with update</w:t>
      </w:r>
    </w:p>
    <w:p w14:paraId="79F62A6E" w14:textId="77777777" w:rsidR="00C32891" w:rsidRPr="00C32891" w:rsidRDefault="00C32891" w:rsidP="00C32891">
      <w:pPr>
        <w:overflowPunct/>
        <w:autoSpaceDE/>
        <w:autoSpaceDN/>
        <w:adjustRightInd/>
        <w:spacing w:after="120"/>
        <w:ind w:left="2008" w:hanging="720"/>
        <w:jc w:val="both"/>
        <w:textAlignment w:val="auto"/>
        <w:rPr>
          <w:rFonts w:ascii="Times" w:eastAsia="Batang" w:hAnsi="Times"/>
          <w:i/>
          <w:sz w:val="18"/>
          <w:lang w:eastAsia="x-none"/>
        </w:rPr>
      </w:pPr>
      <w:r w:rsidRPr="00C32891">
        <w:rPr>
          <w:rFonts w:ascii="Times" w:eastAsia="Batang" w:hAnsi="Times"/>
          <w:i/>
          <w:sz w:val="18"/>
          <w:highlight w:val="darkYellow"/>
          <w:lang w:eastAsia="x-none"/>
        </w:rPr>
        <w:t>Working assumption</w:t>
      </w:r>
      <w:r w:rsidRPr="00C32891">
        <w:rPr>
          <w:rFonts w:ascii="Times" w:eastAsia="Batang" w:hAnsi="Times"/>
          <w:i/>
          <w:sz w:val="18"/>
          <w:lang w:eastAsia="x-none"/>
        </w:rPr>
        <w:t>:</w:t>
      </w:r>
    </w:p>
    <w:p w14:paraId="73C6C4E7" w14:textId="77777777" w:rsidR="00C32891" w:rsidRPr="00C32891" w:rsidRDefault="00C32891" w:rsidP="00C32891">
      <w:pPr>
        <w:numPr>
          <w:ilvl w:val="0"/>
          <w:numId w:val="18"/>
        </w:numPr>
        <w:overflowPunct/>
        <w:autoSpaceDE/>
        <w:autoSpaceDN/>
        <w:adjustRightInd/>
        <w:spacing w:after="120"/>
        <w:ind w:left="2008"/>
        <w:jc w:val="both"/>
        <w:textAlignment w:val="auto"/>
        <w:rPr>
          <w:rFonts w:ascii="Times" w:eastAsia="Batang" w:hAnsi="Times"/>
          <w:i/>
          <w:sz w:val="18"/>
          <w:lang w:eastAsia="x-none"/>
        </w:rPr>
      </w:pPr>
      <w:r w:rsidRPr="00C32891">
        <w:rPr>
          <w:rFonts w:ascii="Times" w:eastAsia="Batang" w:hAnsi="Times"/>
          <w:i/>
          <w:sz w:val="18"/>
          <w:lang w:eastAsia="x-none"/>
        </w:rPr>
        <w:t>When monitoring for DCI in a BWP, the size of DCI format 0-0/1-0 is given by</w:t>
      </w:r>
    </w:p>
    <w:p w14:paraId="2B7CD75E" w14:textId="77777777" w:rsidR="00C32891" w:rsidRPr="00C32891" w:rsidRDefault="00C32891" w:rsidP="00C32891">
      <w:pPr>
        <w:numPr>
          <w:ilvl w:val="0"/>
          <w:numId w:val="18"/>
        </w:numPr>
        <w:overflowPunct/>
        <w:autoSpaceDE/>
        <w:autoSpaceDN/>
        <w:adjustRightInd/>
        <w:spacing w:after="120"/>
        <w:ind w:left="2368"/>
        <w:jc w:val="both"/>
        <w:textAlignment w:val="auto"/>
        <w:rPr>
          <w:rFonts w:ascii="Times" w:eastAsia="Batang" w:hAnsi="Times"/>
          <w:i/>
          <w:sz w:val="18"/>
          <w:lang w:eastAsia="x-none"/>
        </w:rPr>
      </w:pPr>
      <w:r w:rsidRPr="00C32891">
        <w:rPr>
          <w:rFonts w:ascii="Times" w:eastAsia="Batang" w:hAnsi="Times"/>
          <w:i/>
          <w:sz w:val="18"/>
          <w:lang w:eastAsia="x-none"/>
        </w:rPr>
        <w:t>For format 0-0/1-0 (regardless of RNTI) in CSS, the size is given by the initial DL BWP</w:t>
      </w:r>
    </w:p>
    <w:p w14:paraId="6F5EF7F4" w14:textId="77777777" w:rsidR="00C32891" w:rsidRPr="00C32891" w:rsidRDefault="00C32891" w:rsidP="00C32891">
      <w:pPr>
        <w:numPr>
          <w:ilvl w:val="0"/>
          <w:numId w:val="18"/>
        </w:numPr>
        <w:overflowPunct/>
        <w:autoSpaceDE/>
        <w:autoSpaceDN/>
        <w:adjustRightInd/>
        <w:spacing w:after="120"/>
        <w:ind w:left="2368"/>
        <w:jc w:val="both"/>
        <w:textAlignment w:val="auto"/>
        <w:rPr>
          <w:rFonts w:ascii="Times" w:eastAsia="Batang" w:hAnsi="Times"/>
          <w:i/>
          <w:sz w:val="18"/>
          <w:lang w:eastAsia="x-none"/>
        </w:rPr>
      </w:pPr>
      <w:r w:rsidRPr="00C32891">
        <w:rPr>
          <w:rFonts w:ascii="Times" w:eastAsia="Batang" w:hAnsi="Times"/>
          <w:i/>
          <w:sz w:val="18"/>
          <w:lang w:eastAsia="x-none"/>
        </w:rPr>
        <w:t xml:space="preserve">For format 0-0/1-0 in USS, the size is given by the active BWP as long as the DCI size budget is fulfilled </w:t>
      </w:r>
    </w:p>
    <w:p w14:paraId="295B3E6F" w14:textId="77777777" w:rsidR="00C32891" w:rsidRPr="00C32891" w:rsidRDefault="00C32891" w:rsidP="00C32891">
      <w:pPr>
        <w:numPr>
          <w:ilvl w:val="1"/>
          <w:numId w:val="18"/>
        </w:numPr>
        <w:overflowPunct/>
        <w:autoSpaceDE/>
        <w:autoSpaceDN/>
        <w:adjustRightInd/>
        <w:spacing w:after="120"/>
        <w:ind w:left="3088"/>
        <w:jc w:val="both"/>
        <w:textAlignment w:val="auto"/>
        <w:rPr>
          <w:rFonts w:ascii="Times" w:eastAsia="Batang" w:hAnsi="Times"/>
          <w:i/>
          <w:sz w:val="18"/>
          <w:lang w:eastAsia="x-none"/>
        </w:rPr>
      </w:pPr>
      <w:r w:rsidRPr="00C32891">
        <w:rPr>
          <w:rFonts w:ascii="Times" w:eastAsia="Batang" w:hAnsi="Times"/>
          <w:i/>
          <w:strike/>
          <w:color w:val="FF0000"/>
          <w:sz w:val="18"/>
          <w:u w:val="single"/>
          <w:lang w:eastAsia="x-none"/>
        </w:rPr>
        <w:t>FFS:</w:t>
      </w:r>
      <w:r w:rsidRPr="00C32891">
        <w:rPr>
          <w:rFonts w:ascii="Times" w:eastAsia="Batang" w:hAnsi="Times"/>
          <w:i/>
          <w:sz w:val="18"/>
          <w:lang w:eastAsia="x-none"/>
        </w:rPr>
        <w:t xml:space="preserve"> Otherwise, for format 0-0/1-0, the size is given by the initial DL BWP</w:t>
      </w:r>
    </w:p>
    <w:p w14:paraId="2C76E64B" w14:textId="1E71A930" w:rsidR="00C32891" w:rsidRPr="00C32891" w:rsidRDefault="00C32891" w:rsidP="00C32891">
      <w:pPr>
        <w:overflowPunct/>
        <w:autoSpaceDE/>
        <w:autoSpaceDN/>
        <w:adjustRightInd/>
        <w:spacing w:after="0"/>
        <w:ind w:left="568"/>
        <w:textAlignment w:val="auto"/>
        <w:rPr>
          <w:rFonts w:ascii="Times" w:eastAsia="Batang" w:hAnsi="Times"/>
          <w:i/>
          <w:sz w:val="18"/>
        </w:rPr>
      </w:pPr>
      <w:r w:rsidRPr="00C32891">
        <w:rPr>
          <w:rFonts w:ascii="Times" w:eastAsia="Batang" w:hAnsi="Times"/>
          <w:i/>
          <w:sz w:val="18"/>
          <w:highlight w:val="green"/>
        </w:rPr>
        <w:t>Agreements</w:t>
      </w:r>
      <w:r w:rsidRPr="00C32891">
        <w:rPr>
          <w:rFonts w:ascii="Times" w:eastAsia="Batang" w:hAnsi="Times"/>
          <w:i/>
          <w:sz w:val="18"/>
        </w:rPr>
        <w:t>:</w:t>
      </w:r>
      <w:r w:rsidR="00A812AE">
        <w:rPr>
          <w:i/>
          <w:sz w:val="18"/>
          <w:lang w:eastAsia="x-none"/>
        </w:rPr>
        <w:t xml:space="preserve"> (RAN1#92bis</w:t>
      </w:r>
      <w:r w:rsidR="00A812AE" w:rsidRPr="00A812AE">
        <w:rPr>
          <w:i/>
          <w:sz w:val="18"/>
          <w:lang w:eastAsia="x-none"/>
        </w:rPr>
        <w:t>)</w:t>
      </w:r>
    </w:p>
    <w:p w14:paraId="686D8709" w14:textId="77777777" w:rsidR="00C32891" w:rsidRPr="00C32891" w:rsidRDefault="00C32891" w:rsidP="00C32891">
      <w:pPr>
        <w:numPr>
          <w:ilvl w:val="0"/>
          <w:numId w:val="27"/>
        </w:numPr>
        <w:overflowPunct/>
        <w:autoSpaceDE/>
        <w:autoSpaceDN/>
        <w:adjustRightInd/>
        <w:spacing w:after="0"/>
        <w:ind w:left="1288"/>
        <w:textAlignment w:val="auto"/>
        <w:rPr>
          <w:rFonts w:ascii="Times" w:eastAsia="Batang" w:hAnsi="Times"/>
          <w:i/>
          <w:sz w:val="18"/>
        </w:rPr>
      </w:pPr>
      <w:r w:rsidRPr="00C32891">
        <w:rPr>
          <w:rFonts w:ascii="Times" w:eastAsia="Batang" w:hAnsi="Times"/>
          <w:i/>
          <w:sz w:val="18"/>
        </w:rPr>
        <w:t>For DCI format 1-0 in CSS with P-RNTI, SI-RNTI, RA-RNTI, C-RNTI, CS-RNTI, or TC-RNTI:</w:t>
      </w:r>
    </w:p>
    <w:p w14:paraId="4CE26286" w14:textId="77777777" w:rsidR="00C32891" w:rsidRPr="00C32891" w:rsidRDefault="00C32891" w:rsidP="00C32891">
      <w:pPr>
        <w:numPr>
          <w:ilvl w:val="1"/>
          <w:numId w:val="27"/>
        </w:numPr>
        <w:overflowPunct/>
        <w:autoSpaceDE/>
        <w:autoSpaceDN/>
        <w:adjustRightInd/>
        <w:spacing w:after="0"/>
        <w:ind w:left="2008"/>
        <w:textAlignment w:val="auto"/>
        <w:rPr>
          <w:rFonts w:ascii="Times" w:eastAsia="Batang" w:hAnsi="Times"/>
          <w:i/>
          <w:sz w:val="18"/>
        </w:rPr>
      </w:pPr>
      <w:r w:rsidRPr="00C32891">
        <w:rPr>
          <w:rFonts w:ascii="Times" w:eastAsia="Batang" w:hAnsi="Times"/>
          <w:i/>
          <w:sz w:val="18"/>
        </w:rPr>
        <w:t>the RB numbering for the scheduled PDSCH starts from the lowest RB in the CORESET the DCI is received in</w:t>
      </w:r>
    </w:p>
    <w:p w14:paraId="23EA8AFE" w14:textId="77777777" w:rsidR="00C32891" w:rsidRPr="00C32891" w:rsidRDefault="00C32891" w:rsidP="00C32891">
      <w:pPr>
        <w:numPr>
          <w:ilvl w:val="1"/>
          <w:numId w:val="27"/>
        </w:numPr>
        <w:overflowPunct/>
        <w:autoSpaceDE/>
        <w:autoSpaceDN/>
        <w:adjustRightInd/>
        <w:spacing w:after="0"/>
        <w:ind w:left="2008"/>
        <w:textAlignment w:val="auto"/>
        <w:rPr>
          <w:rFonts w:ascii="Times" w:eastAsia="Batang" w:hAnsi="Times"/>
          <w:i/>
          <w:sz w:val="18"/>
        </w:rPr>
      </w:pPr>
      <w:r w:rsidRPr="00C32891">
        <w:rPr>
          <w:rFonts w:ascii="Times" w:eastAsia="Batang" w:hAnsi="Times"/>
          <w:i/>
          <w:sz w:val="18"/>
        </w:rPr>
        <w:t>the maximum number of RBs possible to indicate in the DCI is given by the size of the initial DL BWP.</w:t>
      </w:r>
    </w:p>
    <w:p w14:paraId="77E303B8" w14:textId="77777777" w:rsidR="00C32891" w:rsidRPr="00C32891" w:rsidRDefault="00C32891" w:rsidP="00C32891">
      <w:pPr>
        <w:numPr>
          <w:ilvl w:val="1"/>
          <w:numId w:val="27"/>
        </w:numPr>
        <w:overflowPunct/>
        <w:autoSpaceDE/>
        <w:autoSpaceDN/>
        <w:adjustRightInd/>
        <w:spacing w:after="0"/>
        <w:ind w:left="2008"/>
        <w:textAlignment w:val="auto"/>
        <w:rPr>
          <w:rFonts w:ascii="Times" w:eastAsia="Batang" w:hAnsi="Times"/>
          <w:i/>
          <w:sz w:val="18"/>
        </w:rPr>
      </w:pPr>
      <w:r w:rsidRPr="00C32891">
        <w:rPr>
          <w:rFonts w:ascii="Times" w:eastAsia="Batang" w:hAnsi="Times"/>
          <w:i/>
          <w:sz w:val="18"/>
        </w:rPr>
        <w:t>The case of TC-RNTI is a working assumption</w:t>
      </w:r>
    </w:p>
    <w:p w14:paraId="5B1294B1" w14:textId="77777777" w:rsidR="00C32891" w:rsidRPr="00C32891" w:rsidRDefault="00C32891" w:rsidP="00C32891">
      <w:pPr>
        <w:numPr>
          <w:ilvl w:val="1"/>
          <w:numId w:val="27"/>
        </w:numPr>
        <w:overflowPunct/>
        <w:autoSpaceDE/>
        <w:autoSpaceDN/>
        <w:adjustRightInd/>
        <w:spacing w:after="0"/>
        <w:ind w:left="2008"/>
        <w:textAlignment w:val="auto"/>
        <w:rPr>
          <w:rFonts w:ascii="Times" w:eastAsia="Batang" w:hAnsi="Times"/>
          <w:i/>
          <w:sz w:val="18"/>
        </w:rPr>
      </w:pPr>
      <w:r w:rsidRPr="00C32891">
        <w:rPr>
          <w:rFonts w:ascii="Times" w:eastAsia="Batang" w:hAnsi="Times"/>
          <w:i/>
          <w:sz w:val="18"/>
        </w:rPr>
        <w:t>The case of C-RNTI/CS-RNTI is at least applicable to non-CA case and Pcell in CA</w:t>
      </w:r>
    </w:p>
    <w:p w14:paraId="72DF2509" w14:textId="77777777" w:rsidR="00C32891" w:rsidRPr="00C32891" w:rsidRDefault="00C32891" w:rsidP="00C32891">
      <w:pPr>
        <w:numPr>
          <w:ilvl w:val="2"/>
          <w:numId w:val="27"/>
        </w:numPr>
        <w:overflowPunct/>
        <w:autoSpaceDE/>
        <w:autoSpaceDN/>
        <w:adjustRightInd/>
        <w:spacing w:after="0"/>
        <w:ind w:left="2728"/>
        <w:textAlignment w:val="auto"/>
        <w:rPr>
          <w:rFonts w:ascii="Times" w:eastAsia="Batang" w:hAnsi="Times"/>
          <w:i/>
          <w:sz w:val="18"/>
        </w:rPr>
      </w:pPr>
      <w:r w:rsidRPr="00C32891">
        <w:rPr>
          <w:rFonts w:ascii="Times" w:eastAsia="Batang" w:hAnsi="Times"/>
          <w:i/>
          <w:sz w:val="18"/>
        </w:rPr>
        <w:t>FFS other cases</w:t>
      </w:r>
    </w:p>
    <w:p w14:paraId="1ADF77FB" w14:textId="2C88423C" w:rsidR="00C32891" w:rsidRPr="00C32891" w:rsidRDefault="00C32891" w:rsidP="00C32891">
      <w:pPr>
        <w:overflowPunct/>
        <w:autoSpaceDE/>
        <w:autoSpaceDN/>
        <w:adjustRightInd/>
        <w:spacing w:after="0"/>
        <w:ind w:left="568"/>
        <w:textAlignment w:val="auto"/>
        <w:rPr>
          <w:rFonts w:ascii="Times" w:eastAsia="Batang" w:hAnsi="Times"/>
          <w:i/>
          <w:sz w:val="18"/>
          <w:szCs w:val="24"/>
        </w:rPr>
      </w:pPr>
      <w:r w:rsidRPr="00C32891">
        <w:rPr>
          <w:rFonts w:ascii="Times" w:eastAsia="Batang" w:hAnsi="Times"/>
          <w:i/>
          <w:sz w:val="18"/>
          <w:szCs w:val="24"/>
          <w:highlight w:val="green"/>
        </w:rPr>
        <w:t>Agreements</w:t>
      </w:r>
      <w:r w:rsidRPr="00C32891">
        <w:rPr>
          <w:rFonts w:ascii="Times" w:eastAsia="Batang" w:hAnsi="Times"/>
          <w:i/>
          <w:sz w:val="18"/>
          <w:szCs w:val="24"/>
        </w:rPr>
        <w:t>:</w:t>
      </w:r>
      <w:r w:rsidR="00A812AE">
        <w:rPr>
          <w:i/>
          <w:sz w:val="18"/>
          <w:lang w:eastAsia="x-none"/>
        </w:rPr>
        <w:t xml:space="preserve"> (RAN1#92bis</w:t>
      </w:r>
      <w:r w:rsidR="00A812AE" w:rsidRPr="00A812AE">
        <w:rPr>
          <w:i/>
          <w:sz w:val="18"/>
          <w:lang w:eastAsia="x-none"/>
        </w:rPr>
        <w:t>)</w:t>
      </w:r>
    </w:p>
    <w:p w14:paraId="0A0A928E" w14:textId="77777777" w:rsidR="00C32891" w:rsidRPr="00C32891" w:rsidRDefault="00C32891" w:rsidP="00C32891">
      <w:pPr>
        <w:overflowPunct/>
        <w:autoSpaceDE/>
        <w:autoSpaceDN/>
        <w:adjustRightInd/>
        <w:spacing w:after="0"/>
        <w:ind w:left="568"/>
        <w:textAlignment w:val="auto"/>
        <w:rPr>
          <w:rFonts w:ascii="Times" w:eastAsia="Batang" w:hAnsi="Times"/>
          <w:i/>
          <w:sz w:val="18"/>
          <w:szCs w:val="24"/>
        </w:rPr>
      </w:pPr>
      <w:r w:rsidRPr="00C32891">
        <w:rPr>
          <w:rFonts w:ascii="Times" w:eastAsia="Batang" w:hAnsi="Times"/>
          <w:i/>
          <w:sz w:val="18"/>
          <w:szCs w:val="24"/>
        </w:rPr>
        <w:t>Confirm the following working assumption:</w:t>
      </w:r>
    </w:p>
    <w:p w14:paraId="52A5182B" w14:textId="77777777" w:rsidR="00C32891" w:rsidRPr="00C32891" w:rsidRDefault="00C32891" w:rsidP="00C32891">
      <w:pPr>
        <w:numPr>
          <w:ilvl w:val="0"/>
          <w:numId w:val="17"/>
        </w:numPr>
        <w:overflowPunct/>
        <w:autoSpaceDE/>
        <w:autoSpaceDN/>
        <w:adjustRightInd/>
        <w:spacing w:after="120"/>
        <w:ind w:left="1288"/>
        <w:jc w:val="both"/>
        <w:textAlignment w:val="auto"/>
        <w:rPr>
          <w:rFonts w:ascii="Times" w:eastAsia="Batang" w:hAnsi="Times"/>
          <w:lang w:eastAsia="x-none"/>
        </w:rPr>
      </w:pPr>
      <w:r w:rsidRPr="00C32891">
        <w:rPr>
          <w:rFonts w:ascii="Times" w:eastAsia="Batang" w:hAnsi="Times"/>
          <w:i/>
          <w:sz w:val="18"/>
          <w:lang w:eastAsia="x-none"/>
        </w:rPr>
        <w:t>(</w:t>
      </w:r>
      <w:r w:rsidRPr="00C32891">
        <w:rPr>
          <w:rFonts w:ascii="Times" w:eastAsia="Batang" w:hAnsi="Times"/>
          <w:i/>
          <w:sz w:val="18"/>
          <w:highlight w:val="darkYellow"/>
          <w:lang w:eastAsia="x-none"/>
        </w:rPr>
        <w:t>working assumption</w:t>
      </w:r>
      <w:r w:rsidRPr="00C32891">
        <w:rPr>
          <w:rFonts w:ascii="Times" w:eastAsia="Batang" w:hAnsi="Times"/>
          <w:i/>
          <w:sz w:val="18"/>
          <w:lang w:eastAsia="x-none"/>
        </w:rPr>
        <w:t>) Payload sizes for 2-2 and 2-3 are padded (if needed) to match the size of formats 0-0/1-0 as defined by the initial BWP</w:t>
      </w:r>
    </w:p>
    <w:p w14:paraId="2525368C" w14:textId="77777777" w:rsidR="0023652F" w:rsidRPr="00A812AE" w:rsidRDefault="0023652F" w:rsidP="0023652F">
      <w:pPr>
        <w:overflowPunct/>
        <w:autoSpaceDE/>
        <w:autoSpaceDN/>
        <w:adjustRightInd/>
        <w:spacing w:after="0"/>
        <w:ind w:left="568"/>
        <w:jc w:val="both"/>
        <w:textAlignment w:val="auto"/>
        <w:rPr>
          <w:rFonts w:ascii="Times" w:eastAsia="Batang" w:hAnsi="Times"/>
          <w:i/>
          <w:sz w:val="18"/>
          <w:lang w:eastAsia="x-none"/>
        </w:rPr>
      </w:pPr>
      <w:r w:rsidRPr="00A812AE">
        <w:rPr>
          <w:rFonts w:ascii="Times" w:eastAsia="Batang" w:hAnsi="Times"/>
          <w:i/>
          <w:sz w:val="18"/>
          <w:highlight w:val="green"/>
          <w:lang w:eastAsia="x-none"/>
        </w:rPr>
        <w:t>Agreements</w:t>
      </w:r>
      <w:r w:rsidRPr="00A812AE">
        <w:rPr>
          <w:rFonts w:ascii="Times" w:eastAsia="Batang" w:hAnsi="Times"/>
          <w:i/>
          <w:sz w:val="18"/>
          <w:lang w:eastAsia="x-none"/>
        </w:rPr>
        <w:t>:</w:t>
      </w:r>
      <w:r w:rsidRPr="00A812AE">
        <w:rPr>
          <w:i/>
          <w:sz w:val="18"/>
          <w:lang w:eastAsia="x-none"/>
        </w:rPr>
        <w:t xml:space="preserve"> (RAN1#92)</w:t>
      </w:r>
    </w:p>
    <w:p w14:paraId="1FAA6164" w14:textId="77777777" w:rsidR="0023652F" w:rsidRPr="00A812AE" w:rsidRDefault="0023652F" w:rsidP="0023652F">
      <w:pPr>
        <w:numPr>
          <w:ilvl w:val="0"/>
          <w:numId w:val="21"/>
        </w:numPr>
        <w:overflowPunct/>
        <w:autoSpaceDE/>
        <w:autoSpaceDN/>
        <w:adjustRightInd/>
        <w:spacing w:after="0"/>
        <w:ind w:left="1288"/>
        <w:jc w:val="both"/>
        <w:textAlignment w:val="auto"/>
        <w:rPr>
          <w:rFonts w:ascii="Times" w:eastAsia="Batang" w:hAnsi="Times"/>
          <w:i/>
          <w:sz w:val="18"/>
          <w:lang w:eastAsia="x-none"/>
        </w:rPr>
      </w:pPr>
      <w:r w:rsidRPr="00A812AE">
        <w:rPr>
          <w:rFonts w:ascii="Times" w:eastAsia="Batang" w:hAnsi="Times"/>
          <w:i/>
          <w:sz w:val="18"/>
          <w:lang w:eastAsia="x-none"/>
        </w:rPr>
        <w:t xml:space="preserve">DCI formats 0-0/1-0, 0-1, and 1-1 can have different sizes. </w:t>
      </w:r>
    </w:p>
    <w:p w14:paraId="66670C92" w14:textId="77777777" w:rsidR="0023652F" w:rsidRPr="00A812AE" w:rsidRDefault="0023652F" w:rsidP="0023652F">
      <w:pPr>
        <w:numPr>
          <w:ilvl w:val="0"/>
          <w:numId w:val="21"/>
        </w:numPr>
        <w:overflowPunct/>
        <w:autoSpaceDE/>
        <w:autoSpaceDN/>
        <w:adjustRightInd/>
        <w:spacing w:after="0"/>
        <w:ind w:left="1288"/>
        <w:jc w:val="both"/>
        <w:textAlignment w:val="auto"/>
        <w:rPr>
          <w:rFonts w:ascii="Times" w:eastAsia="Batang" w:hAnsi="Times"/>
          <w:i/>
          <w:sz w:val="18"/>
          <w:lang w:eastAsia="x-none"/>
        </w:rPr>
      </w:pPr>
      <w:r w:rsidRPr="00A812AE">
        <w:rPr>
          <w:rFonts w:ascii="Times" w:eastAsia="Batang" w:hAnsi="Times"/>
          <w:i/>
          <w:sz w:val="18"/>
          <w:lang w:eastAsia="x-none"/>
        </w:rPr>
        <w:t>DCI formats 0-1 and 1-1 can be received in USS only. The size is determined by the active BWP.</w:t>
      </w:r>
    </w:p>
    <w:p w14:paraId="1A5A35AD" w14:textId="77777777" w:rsidR="0023652F" w:rsidRPr="00787909" w:rsidRDefault="0023652F" w:rsidP="0023652F">
      <w:pPr>
        <w:overflowPunct/>
        <w:autoSpaceDE/>
        <w:autoSpaceDN/>
        <w:adjustRightInd/>
        <w:spacing w:after="0"/>
        <w:ind w:left="1288" w:hanging="720"/>
        <w:textAlignment w:val="auto"/>
        <w:rPr>
          <w:rFonts w:ascii="Times" w:eastAsia="Batang" w:hAnsi="Times"/>
          <w:sz w:val="18"/>
          <w:highlight w:val="green"/>
          <w:lang w:eastAsia="x-none"/>
        </w:rPr>
      </w:pPr>
    </w:p>
    <w:p w14:paraId="558B8519" w14:textId="77777777" w:rsidR="008B2B4D" w:rsidRDefault="008B2B4D" w:rsidP="00ED1327">
      <w:pPr>
        <w:rPr>
          <w:rFonts w:eastAsia="Times New Roman"/>
        </w:rPr>
      </w:pPr>
    </w:p>
    <w:p w14:paraId="76354088" w14:textId="22145B25" w:rsidR="00DE775C" w:rsidRDefault="0023652F" w:rsidP="00ED1327">
      <w:pPr>
        <w:rPr>
          <w:rFonts w:eastAsia="Times New Roman"/>
        </w:rPr>
      </w:pPr>
      <w:r>
        <w:rPr>
          <w:rFonts w:eastAsia="Times New Roman"/>
        </w:rPr>
        <w:t>In this contribution</w:t>
      </w:r>
      <w:r w:rsidR="00AA12D0">
        <w:rPr>
          <w:rFonts w:eastAsia="Times New Roman"/>
        </w:rPr>
        <w:t xml:space="preserve"> we will discuss</w:t>
      </w:r>
      <w:r w:rsidRPr="0023652F">
        <w:rPr>
          <w:rFonts w:eastAsia="Times New Roman"/>
        </w:rPr>
        <w:t xml:space="preserve"> </w:t>
      </w:r>
      <w:r>
        <w:rPr>
          <w:rFonts w:eastAsia="Times New Roman"/>
        </w:rPr>
        <w:t>the remaining issues related to DCI format sizes</w:t>
      </w:r>
      <w:r w:rsidR="006D4B93">
        <w:rPr>
          <w:rFonts w:eastAsia="Times New Roman"/>
        </w:rPr>
        <w:t>.</w:t>
      </w:r>
    </w:p>
    <w:p w14:paraId="40EE1901" w14:textId="2399A17A" w:rsidR="00BD23EA" w:rsidRDefault="00BD23EA" w:rsidP="00BD23EA">
      <w:pPr>
        <w:pStyle w:val="Heading1"/>
        <w:rPr>
          <w:color w:val="000000"/>
        </w:rPr>
      </w:pPr>
      <w:r>
        <w:rPr>
          <w:color w:val="000000"/>
        </w:rPr>
        <w:t>2</w:t>
      </w:r>
      <w:r w:rsidRPr="00A51522">
        <w:rPr>
          <w:color w:val="000000"/>
        </w:rPr>
        <w:tab/>
      </w:r>
      <w:r>
        <w:rPr>
          <w:color w:val="000000"/>
        </w:rPr>
        <w:t>DCI sizes for format 2_0, 2_1 and PDCCH order</w:t>
      </w:r>
    </w:p>
    <w:p w14:paraId="09421FD9" w14:textId="77777777" w:rsidR="00BD23EA" w:rsidRDefault="00BD23EA" w:rsidP="00BD23EA">
      <w:r>
        <w:t>The handling of the DCI sizes for C-RNTI based formats has been agreed in RAN1#92bis. It is confirmed that only up to 3 C-RNTI based DCI format sizes are supported, and a total of 4 sizes are supported. In addition, DCI format 2_2/2_3 always align the size to format 0_0/1_0 defined by initial BWP, so it does not use the additional DCI format size from the budget. This means that there is at least one DCI size available to be used for format 2_0 and/or 2_1.</w:t>
      </w:r>
    </w:p>
    <w:p w14:paraId="48CC6B33" w14:textId="77777777" w:rsidR="00BD23EA" w:rsidRDefault="00BD23EA" w:rsidP="00BD23EA">
      <w:r>
        <w:lastRenderedPageBreak/>
        <w:t>The DCI sizes for format 2_0 and 2_1 are currently configurable. If the search space configurations leave two sizes to be used by 2_0 and 2_1, their sizes can simply follow the configuration and no special action needs to be taken. If there is only one size available, there are two options:</w:t>
      </w:r>
    </w:p>
    <w:p w14:paraId="6539532D" w14:textId="77777777" w:rsidR="00BD23EA" w:rsidRDefault="00BD23EA" w:rsidP="00BD23EA">
      <w:pPr>
        <w:pStyle w:val="ListParagraph"/>
        <w:numPr>
          <w:ilvl w:val="0"/>
          <w:numId w:val="28"/>
        </w:numPr>
        <w:rPr>
          <w:sz w:val="20"/>
        </w:rPr>
      </w:pPr>
      <w:r>
        <w:rPr>
          <w:sz w:val="20"/>
        </w:rPr>
        <w:t>Add constraint on the configurations such that the UE does not expect to be configured with more than 4 sizes in total. In this case, the gNB needs to configure proper value for the two formats.</w:t>
      </w:r>
    </w:p>
    <w:p w14:paraId="6338C268" w14:textId="77777777" w:rsidR="00BD23EA" w:rsidRPr="003E1F3A" w:rsidRDefault="00BD23EA" w:rsidP="00BD23EA">
      <w:pPr>
        <w:pStyle w:val="ListParagraph"/>
        <w:numPr>
          <w:ilvl w:val="0"/>
          <w:numId w:val="28"/>
        </w:numPr>
        <w:rPr>
          <w:sz w:val="20"/>
        </w:rPr>
      </w:pPr>
      <w:r>
        <w:rPr>
          <w:sz w:val="20"/>
        </w:rPr>
        <w:t xml:space="preserve">Define rules in the specifications on how to adjust </w:t>
      </w:r>
      <w:r w:rsidRPr="003E1F3A">
        <w:rPr>
          <w:sz w:val="20"/>
        </w:rPr>
        <w:t>the size of format 2_0 and/or 2_1 to satisfy the budget.</w:t>
      </w:r>
      <w:r>
        <w:rPr>
          <w:sz w:val="20"/>
        </w:rPr>
        <w:t xml:space="preserve"> This can be e.g. align the sizes of these two formats, or align one of the formats to format 0_0/1_0.</w:t>
      </w:r>
    </w:p>
    <w:p w14:paraId="1387008D" w14:textId="77777777" w:rsidR="00BD23EA" w:rsidRPr="00DA24AF" w:rsidRDefault="00BD23EA" w:rsidP="00BD23EA">
      <w:pPr>
        <w:rPr>
          <w:lang w:val="fi-FI"/>
        </w:rPr>
      </w:pPr>
      <w:r>
        <w:rPr>
          <w:lang w:val="fi-FI"/>
        </w:rPr>
        <w:t>Option 1 is the simpler from the specification point of view (no rules need to be defined). It leaves the flexibility to the gNB on how to align different formats, so that the gNB can make best decision based on the actual payload size of each format.</w:t>
      </w:r>
    </w:p>
    <w:p w14:paraId="3D2CE2DC" w14:textId="77777777" w:rsidR="00BD23EA" w:rsidRPr="00C711A5" w:rsidRDefault="00BD23EA" w:rsidP="00BD23EA">
      <w:pPr>
        <w:rPr>
          <w:b/>
        </w:rPr>
      </w:pPr>
      <w:r>
        <w:rPr>
          <w:b/>
        </w:rPr>
        <w:t>Proposal 1</w:t>
      </w:r>
      <w:r w:rsidRPr="00C711A5">
        <w:rPr>
          <w:b/>
        </w:rPr>
        <w:t xml:space="preserve">: </w:t>
      </w:r>
      <w:r>
        <w:rPr>
          <w:b/>
        </w:rPr>
        <w:t>The UE is not expected to be configured with more than 4 DCI sizes.</w:t>
      </w:r>
    </w:p>
    <w:p w14:paraId="4ACD8C70" w14:textId="77777777" w:rsidR="00A849FB" w:rsidRDefault="00A849FB" w:rsidP="00BD23EA">
      <w:pPr>
        <w:rPr>
          <w:lang w:val="en-US"/>
        </w:rPr>
      </w:pPr>
    </w:p>
    <w:p w14:paraId="7E07F041" w14:textId="7F5A6B26" w:rsidR="00BD23EA" w:rsidRDefault="00BD23EA" w:rsidP="00BD23EA">
      <w:pPr>
        <w:rPr>
          <w:lang w:val="en-US"/>
        </w:rPr>
      </w:pPr>
      <w:r>
        <w:rPr>
          <w:lang w:val="en-US"/>
        </w:rPr>
        <w:t>The design of another DCI format for PDCCH order for random access is still ongoing. Most of the useful fields have been agreed. But it is not decided yet which format it should use. A natural choice would be to follow LTE approach and use format 1_0 by setting certain fields to pre-defined values (e.g.</w:t>
      </w:r>
      <w:r w:rsidR="00950CB3">
        <w:rPr>
          <w:lang w:val="en-US"/>
        </w:rPr>
        <w:t xml:space="preserve"> by setting</w:t>
      </w:r>
      <w:r>
        <w:rPr>
          <w:lang w:val="en-US"/>
        </w:rPr>
        <w:t xml:space="preserve"> </w:t>
      </w:r>
      <w:r w:rsidR="00950CB3">
        <w:rPr>
          <w:lang w:val="en-US"/>
        </w:rPr>
        <w:t xml:space="preserve">the </w:t>
      </w:r>
      <w:r>
        <w:rPr>
          <w:lang w:val="en-US"/>
        </w:rPr>
        <w:t>freq RA</w:t>
      </w:r>
      <w:r w:rsidR="00950CB3">
        <w:rPr>
          <w:lang w:val="en-US"/>
        </w:rPr>
        <w:t xml:space="preserve"> field to all 1’s</w:t>
      </w:r>
      <w:r>
        <w:rPr>
          <w:lang w:val="en-US"/>
        </w:rPr>
        <w:t>). This also avoid using another DCI format size.</w:t>
      </w:r>
    </w:p>
    <w:p w14:paraId="1198E1C1" w14:textId="7AEAB218" w:rsidR="00BD23EA" w:rsidRDefault="00BD23EA" w:rsidP="00BD23EA">
      <w:pPr>
        <w:rPr>
          <w:b/>
        </w:rPr>
      </w:pPr>
      <w:r>
        <w:rPr>
          <w:b/>
        </w:rPr>
        <w:t>Proposal 2</w:t>
      </w:r>
      <w:r w:rsidRPr="00C711A5">
        <w:rPr>
          <w:b/>
        </w:rPr>
        <w:t xml:space="preserve">: </w:t>
      </w:r>
      <w:r>
        <w:rPr>
          <w:b/>
        </w:rPr>
        <w:t xml:space="preserve">PDCCH order for random access uses format 1_0 by setting certain field(s) to pre-defined value(s), </w:t>
      </w:r>
      <w:r w:rsidR="003F6AB6">
        <w:rPr>
          <w:b/>
        </w:rPr>
        <w:t>followed by</w:t>
      </w:r>
      <w:r>
        <w:rPr>
          <w:b/>
        </w:rPr>
        <w:t xml:space="preserve"> new fields required by PDCCH order.</w:t>
      </w:r>
    </w:p>
    <w:p w14:paraId="18BF3D4E" w14:textId="2016E2B8" w:rsidR="00A849FB" w:rsidRDefault="00A849FB" w:rsidP="00BD23EA">
      <w:pPr>
        <w:rPr>
          <w:b/>
        </w:rPr>
      </w:pPr>
    </w:p>
    <w:p w14:paraId="29047886" w14:textId="655EA8C0" w:rsidR="005B1AB8" w:rsidRPr="005B1AB8" w:rsidRDefault="005B1AB8" w:rsidP="00BD23EA">
      <w:pPr>
        <w:rPr>
          <w:b/>
          <w:u w:val="single"/>
        </w:rPr>
      </w:pPr>
      <w:r w:rsidRPr="005B1AB8">
        <w:rPr>
          <w:b/>
          <w:u w:val="single"/>
        </w:rPr>
        <w:t>Size of format 0_0/1_0 in SCell</w:t>
      </w:r>
    </w:p>
    <w:p w14:paraId="099E1EB7" w14:textId="456D1DBE" w:rsidR="005B1AB8" w:rsidRDefault="005B1AB8" w:rsidP="005B1AB8">
      <w:pPr>
        <w:rPr>
          <w:lang w:val="en-US"/>
        </w:rPr>
      </w:pPr>
      <w:r>
        <w:rPr>
          <w:lang w:val="en-US"/>
        </w:rPr>
        <w:t>We made the general agreement that the size of format 0_0/1_0 in CSS (and USS in</w:t>
      </w:r>
      <w:r w:rsidR="00461DA2">
        <w:rPr>
          <w:lang w:val="en-US"/>
        </w:rPr>
        <w:t xml:space="preserve"> case of</w:t>
      </w:r>
      <w:r>
        <w:rPr>
          <w:lang w:val="en-US"/>
        </w:rPr>
        <w:t xml:space="preserve"> size limitation) is determined by the initial BWP</w:t>
      </w:r>
      <w:r w:rsidR="00461DA2">
        <w:rPr>
          <w:lang w:val="en-US"/>
        </w:rPr>
        <w:t>. However</w:t>
      </w:r>
      <w:r w:rsidR="00461DA2" w:rsidRPr="0077630D">
        <w:rPr>
          <w:b/>
          <w:lang w:val="en-US"/>
        </w:rPr>
        <w:t>, the initial DL/UL BWP is not always defined for SCell</w:t>
      </w:r>
      <w:r w:rsidR="00461DA2">
        <w:rPr>
          <w:lang w:val="en-US"/>
        </w:rPr>
        <w:t xml:space="preserve"> (can be configured optionally), so the agreement needs to be revised for SCell.</w:t>
      </w:r>
    </w:p>
    <w:p w14:paraId="061AE528" w14:textId="3039763C" w:rsidR="00150251" w:rsidRDefault="00150251" w:rsidP="005B1AB8">
      <w:pPr>
        <w:rPr>
          <w:lang w:val="en-US"/>
        </w:rPr>
      </w:pPr>
      <w:r>
        <w:t xml:space="preserve">For format </w:t>
      </w:r>
      <w:r w:rsidR="0088478A">
        <w:t>0_0/</w:t>
      </w:r>
      <w:r>
        <w:t>1_0 in CSS in SCells, there is only C-RNTI/CS-RNTI based DCI. So there is no issue of common understanding among UEs. There is no</w:t>
      </w:r>
      <w:r w:rsidR="0088478A">
        <w:t>t a strong motivation to use them</w:t>
      </w:r>
      <w:r>
        <w:t xml:space="preserve"> to support the fallback in case of BWP switching failure either, as we can always fall back to PCell/SpCell. Therefore </w:t>
      </w:r>
      <w:r w:rsidR="00F8543B">
        <w:t>we do not see</w:t>
      </w:r>
      <w:r>
        <w:t xml:space="preserve"> a good reason to </w:t>
      </w:r>
      <w:r w:rsidR="0088478A">
        <w:t>use anything other the active BWP</w:t>
      </w:r>
      <w:r w:rsidR="00F8543B">
        <w:t xml:space="preserve">. </w:t>
      </w:r>
      <w:r w:rsidR="0077630D">
        <w:t xml:space="preserve">And the active BWP can be used for format 0_0/1_0 in USS in SCells as well. </w:t>
      </w:r>
      <w:r w:rsidR="00F8543B">
        <w:t>So we propose:</w:t>
      </w:r>
    </w:p>
    <w:p w14:paraId="120D159F" w14:textId="30CED890" w:rsidR="005B1AB8" w:rsidRDefault="005B1AB8" w:rsidP="005B1AB8">
      <w:pPr>
        <w:rPr>
          <w:b/>
        </w:rPr>
      </w:pPr>
      <w:r>
        <w:rPr>
          <w:b/>
        </w:rPr>
        <w:t xml:space="preserve">Proposal </w:t>
      </w:r>
      <w:r w:rsidR="00F8543B">
        <w:rPr>
          <w:b/>
        </w:rPr>
        <w:t>3</w:t>
      </w:r>
      <w:r w:rsidRPr="00C711A5">
        <w:rPr>
          <w:b/>
        </w:rPr>
        <w:t xml:space="preserve">: </w:t>
      </w:r>
      <w:r w:rsidR="00F229BF">
        <w:rPr>
          <w:b/>
        </w:rPr>
        <w:t>The size of format 0_0/1_0 in CSS and USS in SCells is determined using the active UL/</w:t>
      </w:r>
      <w:r w:rsidR="00A41D9F">
        <w:rPr>
          <w:b/>
        </w:rPr>
        <w:t>DL BWP</w:t>
      </w:r>
      <w:r w:rsidR="0004016B">
        <w:rPr>
          <w:b/>
        </w:rPr>
        <w:t>, and the frequency RA field is interpreted using the active BWP</w:t>
      </w:r>
      <w:r w:rsidR="00A41D9F">
        <w:rPr>
          <w:b/>
        </w:rPr>
        <w:t xml:space="preserve">. </w:t>
      </w:r>
      <w:r w:rsidR="00A41D9F" w:rsidRPr="00A41D9F">
        <w:t>(Note that this modifies</w:t>
      </w:r>
      <w:r w:rsidR="00F229BF" w:rsidRPr="00A41D9F">
        <w:t xml:space="preserve"> part of the previous agreements on format 0_0/1_0 size.)</w:t>
      </w:r>
    </w:p>
    <w:p w14:paraId="1A59669D" w14:textId="638DBFE7" w:rsidR="005B1AB8" w:rsidRPr="00A41D9F" w:rsidRDefault="00A41D9F" w:rsidP="00BD23EA">
      <w:r w:rsidRPr="00A41D9F">
        <w:t xml:space="preserve">By doing so, </w:t>
      </w:r>
      <w:r w:rsidR="0004016B">
        <w:t>the limit of</w:t>
      </w:r>
      <w:r w:rsidRPr="00A41D9F">
        <w:t xml:space="preserve"> up to 3 sizes for C-RNTI-based formats</w:t>
      </w:r>
      <w:r w:rsidR="0004016B">
        <w:t xml:space="preserve"> can be automatically satisfied</w:t>
      </w:r>
      <w:r w:rsidR="001A6D7E">
        <w:t xml:space="preserve"> on SCells</w:t>
      </w:r>
      <w:r w:rsidRPr="00A41D9F">
        <w:t>.</w:t>
      </w:r>
    </w:p>
    <w:p w14:paraId="1058A453" w14:textId="071A19FD" w:rsidR="00D9248D" w:rsidRDefault="00BD23EA" w:rsidP="00D9248D">
      <w:pPr>
        <w:pStyle w:val="Heading1"/>
        <w:rPr>
          <w:color w:val="000000"/>
        </w:rPr>
      </w:pPr>
      <w:r>
        <w:rPr>
          <w:color w:val="000000"/>
        </w:rPr>
        <w:t>3</w:t>
      </w:r>
      <w:r w:rsidR="00D9248D" w:rsidRPr="00A51522">
        <w:rPr>
          <w:color w:val="000000"/>
        </w:rPr>
        <w:tab/>
      </w:r>
      <w:r w:rsidR="00FB6739">
        <w:rPr>
          <w:color w:val="000000"/>
        </w:rPr>
        <w:t>Interpretation of frequency resource allocation field</w:t>
      </w:r>
    </w:p>
    <w:p w14:paraId="4D9F074F" w14:textId="7BDF4ACC" w:rsidR="00FD3436" w:rsidRPr="00C711A5" w:rsidRDefault="0082539B" w:rsidP="00FD3436">
      <w:pPr>
        <w:rPr>
          <w:b/>
        </w:rPr>
      </w:pPr>
      <w:r>
        <w:t>The interpretation of frequency RA field has be</w:t>
      </w:r>
      <w:r w:rsidR="004C7277">
        <w:t xml:space="preserve">en agreed for format 1_0 in CSS at least for non-CA case and PCell in CA. </w:t>
      </w:r>
      <w:r w:rsidR="00FD3436">
        <w:t xml:space="preserve">Proposal 3 covers </w:t>
      </w:r>
      <w:r w:rsidR="00534F22">
        <w:t>format 1_0 in</w:t>
      </w:r>
      <w:r w:rsidR="00972B43">
        <w:t xml:space="preserve"> CSS in</w:t>
      </w:r>
      <w:r w:rsidR="00534F22">
        <w:t xml:space="preserve"> SCells</w:t>
      </w:r>
      <w:r w:rsidR="00FD3436">
        <w:t>. What is remaining is format 1_0 in USS in PCell/SpCell.</w:t>
      </w:r>
    </w:p>
    <w:p w14:paraId="57E7BB31" w14:textId="21682A20" w:rsidR="00972B43" w:rsidRDefault="00972B43" w:rsidP="00FB6739">
      <w:r>
        <w:t>For format 1_0 in USS</w:t>
      </w:r>
      <w:r w:rsidR="000353EA">
        <w:t xml:space="preserve"> in PCell/SpCell</w:t>
      </w:r>
      <w:r>
        <w:t xml:space="preserve">, when the size is determined based on the initial DL BWP, </w:t>
      </w:r>
      <w:r w:rsidR="007F36DC">
        <w:t xml:space="preserve">we still need to decide how to interpret the frequency RA field. </w:t>
      </w:r>
      <w:r w:rsidR="00ED3189">
        <w:t xml:space="preserve">As discussed in our previous paper [1], there are </w:t>
      </w:r>
      <w:r w:rsidR="00753374">
        <w:t>following options</w:t>
      </w:r>
      <w:r w:rsidR="00D25BCB">
        <w:t>:</w:t>
      </w:r>
    </w:p>
    <w:p w14:paraId="58694EAE" w14:textId="43A45D02" w:rsidR="004779E5" w:rsidRDefault="00EF1A8C" w:rsidP="00FB6739">
      <w:r>
        <w:rPr>
          <w:b/>
        </w:rPr>
        <w:t>Option 1:</w:t>
      </w:r>
      <w:r w:rsidR="004779E5">
        <w:t xml:space="preserve"> </w:t>
      </w:r>
      <w:r w:rsidR="004779E5" w:rsidRPr="001F7BD7">
        <w:rPr>
          <w:b/>
        </w:rPr>
        <w:t>zero-padding or truncating the field directly</w:t>
      </w:r>
      <w:r w:rsidR="004779E5">
        <w:t xml:space="preserve">. </w:t>
      </w:r>
      <w:r>
        <w:t>This has been adopted for BWP switching DCI but the problem is well-known that</w:t>
      </w:r>
      <w:r w:rsidR="004779E5">
        <w:t xml:space="preserve"> </w:t>
      </w:r>
      <w:r w:rsidR="002945F2">
        <w:t>p</w:t>
      </w:r>
      <w:r w:rsidR="002945F2" w:rsidRPr="002945F2">
        <w:t>adding the RIV value with zeros</w:t>
      </w:r>
      <w:r w:rsidR="000F3E12">
        <w:t xml:space="preserve"> results in </w:t>
      </w:r>
      <w:r w:rsidR="000F3E12" w:rsidRPr="000F3E12">
        <w:t>undesirable pruning of start and/or length values</w:t>
      </w:r>
      <w:r w:rsidR="002945F2">
        <w:t>.</w:t>
      </w:r>
      <w:r w:rsidR="008967AB">
        <w:t xml:space="preserve"> </w:t>
      </w:r>
      <w:r w:rsidR="00DC1D9C">
        <w:t xml:space="preserve">BWP switching DCI may happen quite infrequently </w:t>
      </w:r>
      <w:r w:rsidR="00762D64">
        <w:t xml:space="preserve">but scheduling DCI cannot tolerate such restrictive behaviour. </w:t>
      </w:r>
      <w:r w:rsidR="008967AB">
        <w:t xml:space="preserve">So this </w:t>
      </w:r>
      <w:r w:rsidR="00762D64">
        <w:t>should not be used here</w:t>
      </w:r>
      <w:r w:rsidR="008967AB">
        <w:t>.</w:t>
      </w:r>
    </w:p>
    <w:p w14:paraId="548CD01B" w14:textId="1187979E" w:rsidR="002945F2" w:rsidRDefault="00437C3A" w:rsidP="00FB6739">
      <w:r>
        <w:rPr>
          <w:b/>
        </w:rPr>
        <w:t>Option 2:</w:t>
      </w:r>
      <w:r w:rsidR="002945F2">
        <w:t xml:space="preserve"> </w:t>
      </w:r>
      <w:r w:rsidR="00C32D0D" w:rsidRPr="001F7BD7">
        <w:rPr>
          <w:b/>
        </w:rPr>
        <w:t>derive the start position and length from RIV based on the initial BWP</w:t>
      </w:r>
      <w:r w:rsidR="00C32D0D">
        <w:t>, and use the start and length on the active BWP. This means restriction of the start position and length to smaller values</w:t>
      </w:r>
      <w:r w:rsidR="00AE15CC">
        <w:t xml:space="preserve">, but the behaviour is more predictable and easier to </w:t>
      </w:r>
      <w:r w:rsidR="00A963A1">
        <w:t>implement</w:t>
      </w:r>
      <w:r w:rsidR="00AE15CC">
        <w:t>. A variation of this approach</w:t>
      </w:r>
      <w:r w:rsidR="007B5B3F">
        <w:t>, as proposed in [1],</w:t>
      </w:r>
      <w:r w:rsidR="00AE15CC">
        <w:t xml:space="preserve"> is to define a </w:t>
      </w:r>
      <w:r w:rsidR="00AE15CC" w:rsidRPr="00F23606">
        <w:rPr>
          <w:b/>
        </w:rPr>
        <w:t>virtual BWP</w:t>
      </w:r>
      <w:r w:rsidR="00AE15CC">
        <w:t>, which corresponds to the maximum PRBs that can be supported by the bitwidth of the frequency RA field</w:t>
      </w:r>
      <w:r w:rsidR="007B5B3F">
        <w:t xml:space="preserve">. </w:t>
      </w:r>
      <w:r w:rsidR="007B5B3F" w:rsidRPr="001F7BD7">
        <w:rPr>
          <w:b/>
        </w:rPr>
        <w:t>The start position and length is derived from RIV based on the</w:t>
      </w:r>
      <w:r w:rsidR="00A963A1">
        <w:rPr>
          <w:b/>
        </w:rPr>
        <w:t xml:space="preserve"> size (number of PRBs) of the</w:t>
      </w:r>
      <w:r w:rsidR="007B5B3F" w:rsidRPr="001F7BD7">
        <w:rPr>
          <w:b/>
        </w:rPr>
        <w:t xml:space="preserve"> virtual BWP</w:t>
      </w:r>
      <w:r w:rsidR="007B5B3F">
        <w:t>, and then applied to the active BWP.</w:t>
      </w:r>
      <w:r w:rsidR="00F23606">
        <w:t xml:space="preserve"> </w:t>
      </w:r>
      <w:r w:rsidR="00814275">
        <w:t>T</w:t>
      </w:r>
      <w:r w:rsidR="00F23606">
        <w:t>his supports a larger range for the start position and length</w:t>
      </w:r>
      <w:r w:rsidR="00A963A1">
        <w:t xml:space="preserve"> compared to interpretation </w:t>
      </w:r>
      <w:r w:rsidR="008858BD">
        <w:t>using</w:t>
      </w:r>
      <w:r w:rsidR="00A963A1">
        <w:t xml:space="preserve"> the size of the initial BWP.</w:t>
      </w:r>
    </w:p>
    <w:p w14:paraId="508A773D" w14:textId="7880E278" w:rsidR="00431485" w:rsidRDefault="000C5EE7" w:rsidP="00FB6739">
      <w:r>
        <w:rPr>
          <w:b/>
        </w:rPr>
        <w:lastRenderedPageBreak/>
        <w:t>Option 3:</w:t>
      </w:r>
      <w:r w:rsidR="00431485">
        <w:t xml:space="preserve"> </w:t>
      </w:r>
      <w:r w:rsidR="00431485" w:rsidRPr="001F7BD7">
        <w:rPr>
          <w:b/>
        </w:rPr>
        <w:t>apply a scaling factor to both starting position and the length</w:t>
      </w:r>
      <w:r w:rsidR="00431485">
        <w:t xml:space="preserve">, which is essentially the RBG-based operation for type 1 (instead of RB-based). </w:t>
      </w:r>
      <w:r w:rsidR="00A963A1">
        <w:t>T</w:t>
      </w:r>
      <w:r w:rsidR="00114F74">
        <w:t xml:space="preserve">o be able to use the full </w:t>
      </w:r>
      <w:r w:rsidR="008967AB">
        <w:t xml:space="preserve">active </w:t>
      </w:r>
      <w:r w:rsidR="00114F74">
        <w:t xml:space="preserve">bandwidth, the scaling factor would </w:t>
      </w:r>
      <w:r w:rsidR="00A963A1">
        <w:t xml:space="preserve">need to </w:t>
      </w:r>
      <w:r w:rsidR="001F7BD7">
        <w:t xml:space="preserve">be </w:t>
      </w:r>
      <w:r w:rsidR="000F3E0E">
        <w:t>roughly equal to</w:t>
      </w:r>
      <w:r w:rsidR="00114F74">
        <w:t xml:space="preserve"> the ratio of the active BWP and the initial BWP.</w:t>
      </w:r>
    </w:p>
    <w:p w14:paraId="6E5F80C2" w14:textId="09887BA0" w:rsidR="008967AB" w:rsidRDefault="0037239E" w:rsidP="00FB6739">
      <w:r>
        <w:t>B</w:t>
      </w:r>
      <w:r w:rsidR="001E7FC6">
        <w:t>oth the 2</w:t>
      </w:r>
      <w:r w:rsidR="001E7FC6" w:rsidRPr="001E7FC6">
        <w:rPr>
          <w:vertAlign w:val="superscript"/>
        </w:rPr>
        <w:t>nd</w:t>
      </w:r>
      <w:r w:rsidR="001E7FC6">
        <w:t xml:space="preserve"> and 3</w:t>
      </w:r>
      <w:r w:rsidR="001E7FC6" w:rsidRPr="001E7FC6">
        <w:rPr>
          <w:vertAlign w:val="superscript"/>
        </w:rPr>
        <w:t>rd</w:t>
      </w:r>
      <w:r w:rsidR="001E7FC6">
        <w:t xml:space="preserve"> approach would work.</w:t>
      </w:r>
    </w:p>
    <w:p w14:paraId="27CA21D9" w14:textId="3D16D760" w:rsidR="00126A02" w:rsidRPr="00F6260C" w:rsidRDefault="009D48AC" w:rsidP="00FB6739">
      <w:pPr>
        <w:rPr>
          <w:b/>
        </w:rPr>
      </w:pPr>
      <w:r w:rsidRPr="00C47290">
        <w:rPr>
          <w:b/>
        </w:rPr>
        <w:t>Pr</w:t>
      </w:r>
      <w:r w:rsidR="0099262C" w:rsidRPr="00C47290">
        <w:rPr>
          <w:b/>
        </w:rPr>
        <w:t>o</w:t>
      </w:r>
      <w:r w:rsidR="0037239E">
        <w:rPr>
          <w:b/>
        </w:rPr>
        <w:t>posal 4</w:t>
      </w:r>
      <w:r w:rsidR="00126A02" w:rsidRPr="00F6260C">
        <w:rPr>
          <w:b/>
        </w:rPr>
        <w:t xml:space="preserve">: For </w:t>
      </w:r>
      <w:r w:rsidR="00E13B8C">
        <w:rPr>
          <w:b/>
        </w:rPr>
        <w:t xml:space="preserve">format 1_0 in USS, </w:t>
      </w:r>
      <w:r w:rsidR="00C652A8" w:rsidRPr="00F6260C">
        <w:rPr>
          <w:b/>
        </w:rPr>
        <w:t xml:space="preserve">in case the DCI size is determined using the initial BWP instead of the active BWP, </w:t>
      </w:r>
      <w:r w:rsidR="00503356" w:rsidRPr="00F6260C">
        <w:rPr>
          <w:b/>
        </w:rPr>
        <w:t xml:space="preserve">one of the following options </w:t>
      </w:r>
      <w:r w:rsidR="00C455D8">
        <w:rPr>
          <w:b/>
        </w:rPr>
        <w:t>is</w:t>
      </w:r>
      <w:r w:rsidR="00503356" w:rsidRPr="00F6260C">
        <w:rPr>
          <w:b/>
        </w:rPr>
        <w:t xml:space="preserve"> used for </w:t>
      </w:r>
      <w:r w:rsidR="003A7846">
        <w:rPr>
          <w:b/>
        </w:rPr>
        <w:t xml:space="preserve">the </w:t>
      </w:r>
      <w:r w:rsidR="00503356" w:rsidRPr="00F6260C">
        <w:rPr>
          <w:b/>
        </w:rPr>
        <w:t>interpretation of frequency RA field</w:t>
      </w:r>
      <w:r w:rsidR="00812D1B" w:rsidRPr="00F6260C">
        <w:rPr>
          <w:b/>
        </w:rPr>
        <w:t>:</w:t>
      </w:r>
    </w:p>
    <w:p w14:paraId="712002EB" w14:textId="1A19B2B0" w:rsidR="00812D1B" w:rsidRPr="00A963A1" w:rsidRDefault="00DE55DC" w:rsidP="005D630B">
      <w:pPr>
        <w:pStyle w:val="ListParagraph"/>
        <w:numPr>
          <w:ilvl w:val="0"/>
          <w:numId w:val="25"/>
        </w:numPr>
        <w:rPr>
          <w:b/>
          <w:sz w:val="20"/>
          <w:szCs w:val="20"/>
          <w:lang w:val="en-US"/>
        </w:rPr>
      </w:pPr>
      <w:r w:rsidRPr="00A963A1">
        <w:rPr>
          <w:b/>
          <w:sz w:val="20"/>
          <w:szCs w:val="20"/>
          <w:lang w:val="en-US"/>
        </w:rPr>
        <w:t>Derive the start position and length from RIV based on the initial BWP or a virtual BWP (the maximum bandwidth that can be supported by the bitwidth of the frequency RA field), a</w:t>
      </w:r>
      <w:r w:rsidR="005D630B" w:rsidRPr="00A963A1">
        <w:rPr>
          <w:b/>
          <w:sz w:val="20"/>
          <w:szCs w:val="20"/>
          <w:lang w:val="en-US"/>
        </w:rPr>
        <w:t>nd apply them to the active BWP, or</w:t>
      </w:r>
    </w:p>
    <w:p w14:paraId="50F87798" w14:textId="433391C0" w:rsidR="005D630B" w:rsidRPr="00A963A1" w:rsidRDefault="005D630B" w:rsidP="005D630B">
      <w:pPr>
        <w:pStyle w:val="ListParagraph"/>
        <w:numPr>
          <w:ilvl w:val="0"/>
          <w:numId w:val="25"/>
        </w:numPr>
        <w:rPr>
          <w:b/>
          <w:sz w:val="20"/>
          <w:szCs w:val="20"/>
          <w:lang w:val="en-US"/>
        </w:rPr>
      </w:pPr>
      <w:r w:rsidRPr="00A963A1">
        <w:rPr>
          <w:b/>
          <w:sz w:val="20"/>
          <w:szCs w:val="20"/>
          <w:lang w:val="en-US"/>
        </w:rPr>
        <w:t xml:space="preserve">Derive the start position and length from RIV based on the initial BWP, </w:t>
      </w:r>
      <w:r w:rsidR="009D48AC" w:rsidRPr="00A963A1">
        <w:rPr>
          <w:b/>
          <w:sz w:val="20"/>
          <w:szCs w:val="20"/>
          <w:lang w:val="en-US"/>
        </w:rPr>
        <w:t>apply a scaling factor and then apply to the active BWP</w:t>
      </w:r>
      <w:r w:rsidRPr="00A963A1">
        <w:rPr>
          <w:b/>
          <w:sz w:val="20"/>
          <w:szCs w:val="20"/>
          <w:lang w:val="en-US"/>
        </w:rPr>
        <w:t xml:space="preserve"> </w:t>
      </w:r>
    </w:p>
    <w:p w14:paraId="34A7962C" w14:textId="77777777" w:rsidR="005C3317" w:rsidRDefault="005C3317" w:rsidP="00E851FF"/>
    <w:p w14:paraId="5C21CE73" w14:textId="2857A52D" w:rsidR="008D32F6" w:rsidRDefault="005C3317" w:rsidP="00E851FF">
      <w:pPr>
        <w:rPr>
          <w:lang w:val="en-US"/>
        </w:rPr>
      </w:pPr>
      <w:r>
        <w:t>If one of these two options</w:t>
      </w:r>
      <w:r w:rsidR="00892455">
        <w:t xml:space="preserve"> is</w:t>
      </w:r>
      <w:r>
        <w:t xml:space="preserve"> adopted here, it may make sense to revisit the frequency RA field in the BWP switching DCI</w:t>
      </w:r>
      <w:r w:rsidR="00AC14D9">
        <w:t>.</w:t>
      </w:r>
      <w:r w:rsidR="00892455">
        <w:t xml:space="preserve"> </w:t>
      </w:r>
      <w:r w:rsidR="00AC14D9">
        <w:t>C</w:t>
      </w:r>
      <w:r w:rsidR="00892455">
        <w:t xml:space="preserve">ommon solutions are always preferred from UE implementation point of view. </w:t>
      </w:r>
      <w:r w:rsidR="00AC14D9">
        <w:t>In addition,</w:t>
      </w:r>
      <w:r w:rsidR="00892455">
        <w:t xml:space="preserve"> the current padding approach</w:t>
      </w:r>
      <w:r w:rsidR="00AC14D9">
        <w:t xml:space="preserve"> adopted for BWP switching DCI</w:t>
      </w:r>
      <w:r w:rsidR="00892455">
        <w:rPr>
          <w:lang w:val="en-US"/>
        </w:rPr>
        <w:t xml:space="preserve"> is well known to be not performing well</w:t>
      </w:r>
      <w:r w:rsidR="001D2E3C">
        <w:rPr>
          <w:lang w:val="en-US"/>
        </w:rPr>
        <w:t xml:space="preserve"> [1]</w:t>
      </w:r>
      <w:r w:rsidR="00892455">
        <w:rPr>
          <w:lang w:val="en-US"/>
        </w:rPr>
        <w:t>.</w:t>
      </w:r>
    </w:p>
    <w:p w14:paraId="1BB21991" w14:textId="77777777" w:rsidR="00BC5387" w:rsidRDefault="00BC5387" w:rsidP="00E851FF">
      <w:pPr>
        <w:rPr>
          <w:lang w:val="en-US"/>
        </w:rPr>
      </w:pPr>
    </w:p>
    <w:p w14:paraId="0E828C91" w14:textId="43DBDC90" w:rsidR="0020460B" w:rsidRDefault="0020460B" w:rsidP="00E851FF">
      <w:pPr>
        <w:rPr>
          <w:lang w:val="en-US"/>
        </w:rPr>
      </w:pPr>
      <w:r>
        <w:rPr>
          <w:lang w:val="en-US"/>
        </w:rPr>
        <w:t>The next issue is about the interpretation of frequency RA field in format 0_0.</w:t>
      </w:r>
      <w:r w:rsidR="00F566D8">
        <w:rPr>
          <w:lang w:val="en-US"/>
        </w:rPr>
        <w:t xml:space="preserve"> In PCell or SpCell, even though there is no need to have common understanding among </w:t>
      </w:r>
      <w:r w:rsidR="001606EC">
        <w:rPr>
          <w:lang w:val="en-US"/>
        </w:rPr>
        <w:t xml:space="preserve">the </w:t>
      </w:r>
      <w:r w:rsidR="00F566D8">
        <w:rPr>
          <w:lang w:val="en-US"/>
        </w:rPr>
        <w:t xml:space="preserve">UEs, it is beneficial to </w:t>
      </w:r>
      <w:r w:rsidR="00390890">
        <w:rPr>
          <w:lang w:val="en-US"/>
        </w:rPr>
        <w:t xml:space="preserve">support the fallback for BWP switching failure, so it is useful to </w:t>
      </w:r>
      <w:r w:rsidR="001606EC">
        <w:rPr>
          <w:lang w:val="en-US"/>
        </w:rPr>
        <w:t xml:space="preserve">have frequency RA field interpretation not depending on the active BWP. Therefore, </w:t>
      </w:r>
      <w:r w:rsidR="001D2E3C">
        <w:rPr>
          <w:lang w:val="en-US"/>
        </w:rPr>
        <w:t>it makes sense to define the same behavior for format 0_0 as format 1_0.</w:t>
      </w:r>
    </w:p>
    <w:p w14:paraId="167976DD" w14:textId="037D1E91" w:rsidR="004D4A85" w:rsidRDefault="004D4A85" w:rsidP="00E851FF">
      <w:pPr>
        <w:rPr>
          <w:b/>
          <w:lang w:val="en-US"/>
        </w:rPr>
      </w:pPr>
      <w:r w:rsidRPr="0002742C">
        <w:rPr>
          <w:b/>
          <w:lang w:val="en-US"/>
        </w:rPr>
        <w:t xml:space="preserve">Proposal 5: For format 0_0, the interpretation </w:t>
      </w:r>
      <w:r w:rsidR="00A71201">
        <w:rPr>
          <w:b/>
          <w:lang w:val="en-US"/>
        </w:rPr>
        <w:t>of the frequency RA field follows</w:t>
      </w:r>
      <w:r w:rsidRPr="0002742C">
        <w:rPr>
          <w:b/>
          <w:lang w:val="en-US"/>
        </w:rPr>
        <w:t xml:space="preserve"> the same </w:t>
      </w:r>
      <w:r w:rsidR="00A71201">
        <w:rPr>
          <w:b/>
          <w:lang w:val="en-US"/>
        </w:rPr>
        <w:t xml:space="preserve">rules </w:t>
      </w:r>
      <w:r w:rsidRPr="0002742C">
        <w:rPr>
          <w:b/>
          <w:lang w:val="en-US"/>
        </w:rPr>
        <w:t>as format 1_0</w:t>
      </w:r>
      <w:r w:rsidR="00A71201">
        <w:rPr>
          <w:b/>
          <w:lang w:val="en-US"/>
        </w:rPr>
        <w:t>, with DL BWP replaced by UL BWP</w:t>
      </w:r>
      <w:r w:rsidRPr="0002742C">
        <w:rPr>
          <w:b/>
          <w:lang w:val="en-US"/>
        </w:rPr>
        <w:t>.</w:t>
      </w:r>
    </w:p>
    <w:p w14:paraId="720A55A6" w14:textId="1184AB42" w:rsidR="000C5EE7" w:rsidRDefault="000C5EE7" w:rsidP="00E851FF">
      <w:pPr>
        <w:rPr>
          <w:b/>
          <w:lang w:val="en-US"/>
        </w:rPr>
      </w:pPr>
    </w:p>
    <w:p w14:paraId="29AAB076" w14:textId="2AEB980E" w:rsidR="000C5EE7" w:rsidRPr="000C5EE7" w:rsidRDefault="000C5EE7" w:rsidP="00E851FF">
      <w:pPr>
        <w:rPr>
          <w:b/>
          <w:u w:val="single"/>
          <w:lang w:val="en-US"/>
        </w:rPr>
      </w:pPr>
      <w:r w:rsidRPr="000C5EE7">
        <w:rPr>
          <w:b/>
          <w:u w:val="single"/>
          <w:lang w:val="en-US"/>
        </w:rPr>
        <w:t xml:space="preserve">Starting PRB for format 1_0 frequency RA in case of initial </w:t>
      </w:r>
      <w:r w:rsidR="009D5E6D">
        <w:rPr>
          <w:b/>
          <w:u w:val="single"/>
          <w:lang w:val="en-US"/>
        </w:rPr>
        <w:t xml:space="preserve">DL </w:t>
      </w:r>
      <w:r w:rsidRPr="000C5EE7">
        <w:rPr>
          <w:b/>
          <w:u w:val="single"/>
          <w:lang w:val="en-US"/>
        </w:rPr>
        <w:t xml:space="preserve">BWP </w:t>
      </w:r>
      <w:r w:rsidR="00855A15">
        <w:rPr>
          <w:b/>
          <w:u w:val="single"/>
          <w:lang w:val="en-US"/>
        </w:rPr>
        <w:t>extension</w:t>
      </w:r>
    </w:p>
    <w:p w14:paraId="59AA9279" w14:textId="0B5105D9" w:rsidR="000C5EE7" w:rsidRDefault="009C046E" w:rsidP="00E851FF">
      <w:pPr>
        <w:rPr>
          <w:lang w:val="en-US"/>
        </w:rPr>
      </w:pPr>
      <w:r>
        <w:rPr>
          <w:lang w:val="en-US"/>
        </w:rPr>
        <w:t>In the initial access agenda,</w:t>
      </w:r>
      <w:r w:rsidRPr="007449F8">
        <w:rPr>
          <w:lang w:val="en-US"/>
        </w:rPr>
        <w:t xml:space="preserve"> </w:t>
      </w:r>
      <w:r>
        <w:rPr>
          <w:lang w:val="en-US"/>
        </w:rPr>
        <w:t>t</w:t>
      </w:r>
      <w:r w:rsidR="007449F8" w:rsidRPr="007449F8">
        <w:rPr>
          <w:lang w:val="en-US"/>
        </w:rPr>
        <w:t xml:space="preserve">here is </w:t>
      </w:r>
      <w:r w:rsidR="007449F8">
        <w:rPr>
          <w:lang w:val="en-US"/>
        </w:rPr>
        <w:t xml:space="preserve">ongoing discussion on whether to </w:t>
      </w:r>
      <w:r w:rsidR="00855A15">
        <w:rPr>
          <w:lang w:val="en-US"/>
        </w:rPr>
        <w:t>extend</w:t>
      </w:r>
      <w:r w:rsidR="007449F8">
        <w:rPr>
          <w:lang w:val="en-US"/>
        </w:rPr>
        <w:t xml:space="preserve"> the initial</w:t>
      </w:r>
      <w:r w:rsidR="00A40605">
        <w:rPr>
          <w:lang w:val="en-US"/>
        </w:rPr>
        <w:t xml:space="preserve"> DL</w:t>
      </w:r>
      <w:r w:rsidR="007449F8">
        <w:rPr>
          <w:lang w:val="en-US"/>
        </w:rPr>
        <w:t xml:space="preserve"> BWP to always include SSB</w:t>
      </w:r>
      <w:r w:rsidR="00996DED">
        <w:rPr>
          <w:lang w:val="en-US"/>
        </w:rPr>
        <w:t xml:space="preserve"> (e.g. see our companion contribution [</w:t>
      </w:r>
      <w:r w:rsidR="001D2E3C">
        <w:rPr>
          <w:lang w:val="en-US"/>
        </w:rPr>
        <w:t>2</w:t>
      </w:r>
      <w:r w:rsidR="00996DED">
        <w:rPr>
          <w:lang w:val="en-US"/>
        </w:rPr>
        <w:t>])</w:t>
      </w:r>
      <w:r w:rsidR="001A2CE6">
        <w:rPr>
          <w:lang w:val="en-US"/>
        </w:rPr>
        <w:t xml:space="preserve"> for SS/PBCH and control resource set multiplexing pattern 2 and 3, to facilitate operation with initial active DL BWP</w:t>
      </w:r>
      <w:r w:rsidR="00996DED">
        <w:rPr>
          <w:lang w:val="en-US"/>
        </w:rPr>
        <w:t>.</w:t>
      </w:r>
      <w:r w:rsidR="00B54A28">
        <w:rPr>
          <w:lang w:val="en-US"/>
        </w:rPr>
        <w:t xml:space="preserve"> </w:t>
      </w:r>
      <w:r w:rsidR="00996DED">
        <w:rPr>
          <w:lang w:val="en-US"/>
        </w:rPr>
        <w:t>I</w:t>
      </w:r>
      <w:r w:rsidR="00A6705A">
        <w:rPr>
          <w:lang w:val="en-US"/>
        </w:rPr>
        <w:t xml:space="preserve">n multiplexing pattern 2 and 3, SSB can </w:t>
      </w:r>
      <w:r w:rsidR="001A2CE6">
        <w:rPr>
          <w:lang w:val="en-US"/>
        </w:rPr>
        <w:t xml:space="preserve">be placed above or below the CORESET#0 in </w:t>
      </w:r>
      <w:r w:rsidR="00A6705A">
        <w:rPr>
          <w:lang w:val="en-US"/>
        </w:rPr>
        <w:t xml:space="preserve">frequency </w:t>
      </w:r>
      <w:r w:rsidR="001A2CE6">
        <w:rPr>
          <w:lang w:val="en-US"/>
        </w:rPr>
        <w:t>domain</w:t>
      </w:r>
      <w:r w:rsidR="00A6705A">
        <w:rPr>
          <w:lang w:val="en-US"/>
        </w:rPr>
        <w:t>. With the current agreement</w:t>
      </w:r>
      <w:r w:rsidR="001A2CE6">
        <w:rPr>
          <w:lang w:val="en-US"/>
        </w:rPr>
        <w:t xml:space="preserve"> in control AI, </w:t>
      </w:r>
      <w:r w:rsidR="00A6705A">
        <w:rPr>
          <w:lang w:val="en-US"/>
        </w:rPr>
        <w:t xml:space="preserve">that </w:t>
      </w:r>
      <w:r w:rsidR="00863EE4">
        <w:rPr>
          <w:lang w:val="en-US"/>
        </w:rPr>
        <w:t>the frequency RA in format 1_0 in CSS always starts at the first PRB in CORESET#0</w:t>
      </w:r>
      <w:r w:rsidR="006059A6">
        <w:rPr>
          <w:lang w:val="en-US"/>
        </w:rPr>
        <w:t xml:space="preserve"> and the maximum number of PRBs is given by the </w:t>
      </w:r>
      <w:r w:rsidR="009A5B3B">
        <w:rPr>
          <w:lang w:val="en-US"/>
        </w:rPr>
        <w:t>size of initial active BWP (i.e. CORESET#0)</w:t>
      </w:r>
      <w:r w:rsidR="00863EE4">
        <w:rPr>
          <w:lang w:val="en-US"/>
        </w:rPr>
        <w:t>, it is not possible to schedule e.g. RMSI</w:t>
      </w:r>
      <w:r w:rsidR="007C7416">
        <w:rPr>
          <w:lang w:val="en-US"/>
        </w:rPr>
        <w:t>/OSI</w:t>
      </w:r>
      <w:r w:rsidR="00717DA7">
        <w:rPr>
          <w:lang w:val="en-US"/>
        </w:rPr>
        <w:t>/Paging</w:t>
      </w:r>
      <w:r w:rsidR="00863EE4">
        <w:rPr>
          <w:lang w:val="en-US"/>
        </w:rPr>
        <w:t xml:space="preserve"> in the same PRBs as SSB</w:t>
      </w:r>
      <w:r w:rsidR="00ED39CF">
        <w:rPr>
          <w:lang w:val="en-US"/>
        </w:rPr>
        <w:t xml:space="preserve">. </w:t>
      </w:r>
      <w:r w:rsidR="009A5B3B">
        <w:rPr>
          <w:lang w:val="en-US"/>
        </w:rPr>
        <w:t xml:space="preserve">This is the case regardless of whether SSB is placed above or below CORESET#0 in frequency domain, </w:t>
      </w:r>
      <w:r w:rsidR="00A458C9">
        <w:rPr>
          <w:lang w:val="en-US"/>
        </w:rPr>
        <w:t xml:space="preserve">as CORESET#0 is the initial active BWP and SSB is on different PRBs from CORESET#0. </w:t>
      </w:r>
      <w:r w:rsidR="00ED39CF">
        <w:rPr>
          <w:lang w:val="en-US"/>
        </w:rPr>
        <w:t>So if it is agreed tha</w:t>
      </w:r>
      <w:r w:rsidR="00A40605">
        <w:rPr>
          <w:lang w:val="en-US"/>
        </w:rPr>
        <w:t>t the initial BWP part is extend</w:t>
      </w:r>
      <w:r w:rsidR="00ED39CF">
        <w:rPr>
          <w:lang w:val="en-US"/>
        </w:rPr>
        <w:t>ed to include SSB, the agreement would need to be revised</w:t>
      </w:r>
      <w:r w:rsidR="001A2CE6">
        <w:rPr>
          <w:lang w:val="en-US"/>
        </w:rPr>
        <w:t xml:space="preserve"> if it </w:t>
      </w:r>
      <w:bookmarkStart w:id="0" w:name="_GoBack"/>
      <w:bookmarkEnd w:id="0"/>
      <w:r w:rsidR="001E7C22">
        <w:rPr>
          <w:lang w:val="en-US"/>
        </w:rPr>
        <w:t xml:space="preserve">is </w:t>
      </w:r>
      <w:r w:rsidR="001A2CE6">
        <w:rPr>
          <w:lang w:val="en-US"/>
        </w:rPr>
        <w:t>desired to enable PDSCH scheduling (e.g. for paging and OSI) to use full intial access DL BWP</w:t>
      </w:r>
      <w:r w:rsidR="00ED39CF">
        <w:rPr>
          <w:lang w:val="en-US"/>
        </w:rPr>
        <w:t>.</w:t>
      </w:r>
    </w:p>
    <w:p w14:paraId="21831D10" w14:textId="5E5D6FA5" w:rsidR="00ED39CF" w:rsidRDefault="00ED39CF" w:rsidP="00E851FF">
      <w:pPr>
        <w:rPr>
          <w:lang w:val="en-US"/>
        </w:rPr>
      </w:pPr>
      <w:r>
        <w:rPr>
          <w:lang w:val="en-US"/>
        </w:rPr>
        <w:t>In this case, a sensible approach would be that if</w:t>
      </w:r>
      <w:r w:rsidR="006C6449">
        <w:rPr>
          <w:lang w:val="en-US"/>
        </w:rPr>
        <w:t xml:space="preserve"> the </w:t>
      </w:r>
      <w:r w:rsidR="00EF5FAB">
        <w:rPr>
          <w:lang w:val="en-US"/>
        </w:rPr>
        <w:t xml:space="preserve">initial BWP </w:t>
      </w:r>
      <w:r>
        <w:rPr>
          <w:lang w:val="en-US"/>
        </w:rPr>
        <w:t xml:space="preserve">falls </w:t>
      </w:r>
      <w:r w:rsidR="007F070E">
        <w:rPr>
          <w:lang w:val="en-US"/>
        </w:rPr>
        <w:t>within</w:t>
      </w:r>
      <w:r>
        <w:rPr>
          <w:lang w:val="en-US"/>
        </w:rPr>
        <w:t xml:space="preserve"> the </w:t>
      </w:r>
      <w:r w:rsidR="00EF5FAB">
        <w:rPr>
          <w:lang w:val="en-US"/>
        </w:rPr>
        <w:t>active</w:t>
      </w:r>
      <w:r>
        <w:rPr>
          <w:lang w:val="en-US"/>
        </w:rPr>
        <w:t xml:space="preserve"> BWP, the frequency RA is interpreted using the initial BWP; otherwise </w:t>
      </w:r>
      <w:r w:rsidR="00F46A99">
        <w:rPr>
          <w:lang w:val="en-US"/>
        </w:rPr>
        <w:t xml:space="preserve">the lowest </w:t>
      </w:r>
      <w:r w:rsidR="006C6449">
        <w:rPr>
          <w:lang w:val="en-US"/>
        </w:rPr>
        <w:t>PRB of the CORESET is used as currently agreed. So the first part addresses the nested BWP</w:t>
      </w:r>
      <w:r w:rsidR="000E2090">
        <w:rPr>
          <w:lang w:val="en-US"/>
        </w:rPr>
        <w:t xml:space="preserve"> operation, and the second part handles the case with non-overlapping BWPs.</w:t>
      </w:r>
    </w:p>
    <w:p w14:paraId="73D12502" w14:textId="419101FB" w:rsidR="00C159FA" w:rsidRDefault="000E2090" w:rsidP="007C7416">
      <w:pPr>
        <w:rPr>
          <w:b/>
          <w:lang w:val="en-US"/>
        </w:rPr>
      </w:pPr>
      <w:r>
        <w:rPr>
          <w:b/>
          <w:lang w:val="en-US"/>
        </w:rPr>
        <w:t>Proposal 6</w:t>
      </w:r>
      <w:r w:rsidRPr="0002742C">
        <w:rPr>
          <w:b/>
          <w:lang w:val="en-US"/>
        </w:rPr>
        <w:t xml:space="preserve">: </w:t>
      </w:r>
      <w:bookmarkStart w:id="1" w:name="_Hlk513674397"/>
      <w:r w:rsidR="007C7416">
        <w:rPr>
          <w:b/>
          <w:lang w:val="en-US"/>
        </w:rPr>
        <w:t>If it is agreed that the initial DL BWP is extended to always include SSB</w:t>
      </w:r>
      <w:bookmarkEnd w:id="1"/>
      <w:r w:rsidR="007C7416">
        <w:rPr>
          <w:b/>
          <w:lang w:val="en-US"/>
        </w:rPr>
        <w:t xml:space="preserve">, </w:t>
      </w:r>
      <w:r w:rsidR="00C159FA">
        <w:rPr>
          <w:b/>
          <w:lang w:val="en-US"/>
        </w:rPr>
        <w:t>f</w:t>
      </w:r>
      <w:r w:rsidRPr="0002742C">
        <w:rPr>
          <w:b/>
          <w:lang w:val="en-US"/>
        </w:rPr>
        <w:t xml:space="preserve">or format </w:t>
      </w:r>
      <w:r w:rsidR="001A2CE6">
        <w:rPr>
          <w:b/>
          <w:lang w:val="en-US"/>
        </w:rPr>
        <w:t>1</w:t>
      </w:r>
      <w:r w:rsidRPr="0002742C">
        <w:rPr>
          <w:b/>
          <w:lang w:val="en-US"/>
        </w:rPr>
        <w:t>_0</w:t>
      </w:r>
      <w:r w:rsidR="007C7416" w:rsidRPr="007C7416">
        <w:rPr>
          <w:b/>
          <w:lang w:val="en-US"/>
        </w:rPr>
        <w:t xml:space="preserve"> in CSS </w:t>
      </w:r>
      <w:r w:rsidR="00C159FA">
        <w:rPr>
          <w:b/>
          <w:lang w:val="en-US"/>
        </w:rPr>
        <w:t>in PCell/SpCell</w:t>
      </w:r>
      <w:r w:rsidR="007C7416" w:rsidRPr="007C7416">
        <w:rPr>
          <w:b/>
          <w:lang w:val="en-US"/>
        </w:rPr>
        <w:t>:</w:t>
      </w:r>
    </w:p>
    <w:p w14:paraId="7C2AC5AD" w14:textId="165BB71D" w:rsidR="00C159FA" w:rsidRPr="003B1564" w:rsidRDefault="007C7416" w:rsidP="00395A61">
      <w:pPr>
        <w:pStyle w:val="ListParagraph"/>
        <w:numPr>
          <w:ilvl w:val="0"/>
          <w:numId w:val="29"/>
        </w:numPr>
        <w:rPr>
          <w:b/>
          <w:sz w:val="20"/>
          <w:lang w:val="en-GB"/>
        </w:rPr>
      </w:pPr>
      <w:r w:rsidRPr="0032033C">
        <w:rPr>
          <w:b/>
          <w:color w:val="FF0000"/>
          <w:sz w:val="20"/>
          <w:lang w:val="en-US"/>
        </w:rPr>
        <w:t xml:space="preserve">the RB numbering for the scheduled PDSCH starts from the lowest RB in the </w:t>
      </w:r>
      <w:r w:rsidR="00B578A4" w:rsidRPr="0032033C">
        <w:rPr>
          <w:b/>
          <w:color w:val="FF0000"/>
          <w:sz w:val="20"/>
          <w:lang w:val="en-US"/>
        </w:rPr>
        <w:t>initial DL BWP if the initial DL BWP</w:t>
      </w:r>
      <w:r w:rsidR="007F070E">
        <w:rPr>
          <w:b/>
          <w:color w:val="FF0000"/>
          <w:sz w:val="20"/>
          <w:lang w:val="en-US"/>
        </w:rPr>
        <w:t xml:space="preserve"> falls within the active DL BWP</w:t>
      </w:r>
      <w:r w:rsidR="00B578A4" w:rsidRPr="0032033C">
        <w:rPr>
          <w:b/>
          <w:color w:val="FF0000"/>
          <w:sz w:val="20"/>
          <w:lang w:val="en-US"/>
        </w:rPr>
        <w:t xml:space="preserve">, otherwise </w:t>
      </w:r>
      <w:r w:rsidR="00B578A4">
        <w:rPr>
          <w:b/>
          <w:sz w:val="20"/>
          <w:lang w:val="en-US"/>
        </w:rPr>
        <w:t xml:space="preserve">it starts from the lowest RB </w:t>
      </w:r>
      <w:r w:rsidR="0032033C">
        <w:rPr>
          <w:b/>
          <w:sz w:val="20"/>
          <w:lang w:val="en-US"/>
        </w:rPr>
        <w:t>in the CORESET.</w:t>
      </w:r>
    </w:p>
    <w:p w14:paraId="021DCAF5" w14:textId="296D599B" w:rsidR="000E2090" w:rsidRPr="003B1564" w:rsidRDefault="007C7416" w:rsidP="00395A61">
      <w:pPr>
        <w:pStyle w:val="ListParagraph"/>
        <w:numPr>
          <w:ilvl w:val="0"/>
          <w:numId w:val="29"/>
        </w:numPr>
        <w:rPr>
          <w:b/>
          <w:sz w:val="20"/>
          <w:lang w:val="en-GB"/>
        </w:rPr>
      </w:pPr>
      <w:r w:rsidRPr="003B1564">
        <w:rPr>
          <w:b/>
          <w:sz w:val="20"/>
          <w:lang w:val="en-US"/>
        </w:rPr>
        <w:t>the maximum number of RBs possible to indicate in the DCI is given by the size of the initial DL BWP.</w:t>
      </w:r>
    </w:p>
    <w:p w14:paraId="28BEB160" w14:textId="0746B93D" w:rsidR="000E2090" w:rsidRPr="007449F8" w:rsidRDefault="003B1564" w:rsidP="00E851FF">
      <w:pPr>
        <w:rPr>
          <w:lang w:val="en-US"/>
        </w:rPr>
      </w:pPr>
      <w:r>
        <w:rPr>
          <w:lang w:val="en-US"/>
        </w:rPr>
        <w:t>(Note that this would override the previous agreements.)</w:t>
      </w:r>
    </w:p>
    <w:p w14:paraId="5684E2CB" w14:textId="6A1A8171" w:rsidR="00DE775C" w:rsidRDefault="009D5E6D" w:rsidP="00DE775C">
      <w:pPr>
        <w:pStyle w:val="Heading1"/>
        <w:rPr>
          <w:color w:val="000000"/>
        </w:rPr>
      </w:pPr>
      <w:r>
        <w:rPr>
          <w:color w:val="000000"/>
        </w:rPr>
        <w:t>4</w:t>
      </w:r>
      <w:r w:rsidR="00DE775C" w:rsidRPr="00A51522">
        <w:rPr>
          <w:color w:val="000000"/>
        </w:rPr>
        <w:tab/>
      </w:r>
      <w:r w:rsidR="00DE775C">
        <w:rPr>
          <w:color w:val="000000"/>
        </w:rPr>
        <w:t>Conclusion</w:t>
      </w:r>
    </w:p>
    <w:p w14:paraId="5F5B8EDF" w14:textId="63A236A0" w:rsidR="00DE775C" w:rsidRDefault="00FE7AD9" w:rsidP="00E851FF">
      <w:pPr>
        <w:rPr>
          <w:lang w:val="en-US"/>
        </w:rPr>
      </w:pPr>
      <w:r>
        <w:rPr>
          <w:lang w:val="en-US"/>
        </w:rPr>
        <w:t xml:space="preserve">In this contribution we have discussed the size alignment of different DCI formats </w:t>
      </w:r>
      <w:r w:rsidR="0002742C">
        <w:rPr>
          <w:lang w:val="en-US"/>
        </w:rPr>
        <w:t xml:space="preserve">and the interpretation of the frequency RA field, </w:t>
      </w:r>
      <w:r>
        <w:rPr>
          <w:lang w:val="en-US"/>
        </w:rPr>
        <w:t>and proposed the following:</w:t>
      </w:r>
    </w:p>
    <w:p w14:paraId="3C35A122" w14:textId="77777777" w:rsidR="00250943" w:rsidRPr="00C711A5" w:rsidRDefault="00250943" w:rsidP="00250943">
      <w:pPr>
        <w:rPr>
          <w:b/>
        </w:rPr>
      </w:pPr>
      <w:r>
        <w:rPr>
          <w:b/>
        </w:rPr>
        <w:lastRenderedPageBreak/>
        <w:t>Proposal 1</w:t>
      </w:r>
      <w:r w:rsidRPr="00C711A5">
        <w:rPr>
          <w:b/>
        </w:rPr>
        <w:t xml:space="preserve">: </w:t>
      </w:r>
      <w:r>
        <w:rPr>
          <w:b/>
        </w:rPr>
        <w:t>The UE is not expected to be configured with more than 4 DCI sizes.</w:t>
      </w:r>
    </w:p>
    <w:p w14:paraId="16F9426D" w14:textId="10F9463C" w:rsidR="00250943" w:rsidRDefault="00250943" w:rsidP="00250943">
      <w:pPr>
        <w:rPr>
          <w:b/>
        </w:rPr>
      </w:pPr>
      <w:r>
        <w:rPr>
          <w:b/>
        </w:rPr>
        <w:t>Proposal 2</w:t>
      </w:r>
      <w:r w:rsidRPr="00C711A5">
        <w:rPr>
          <w:b/>
        </w:rPr>
        <w:t xml:space="preserve">: </w:t>
      </w:r>
      <w:r>
        <w:rPr>
          <w:b/>
        </w:rPr>
        <w:t>PDCCH order for random access uses format 1_0 by setting certain field(s) to pre-defined value(s), followed by new fields required by PDCCH order.</w:t>
      </w:r>
    </w:p>
    <w:p w14:paraId="3FD59B6A" w14:textId="77777777" w:rsidR="00250943" w:rsidRDefault="00250943" w:rsidP="00250943">
      <w:pPr>
        <w:rPr>
          <w:b/>
        </w:rPr>
      </w:pPr>
      <w:r>
        <w:rPr>
          <w:b/>
        </w:rPr>
        <w:t>Proposal 3</w:t>
      </w:r>
      <w:r w:rsidRPr="00C711A5">
        <w:rPr>
          <w:b/>
        </w:rPr>
        <w:t xml:space="preserve">: </w:t>
      </w:r>
      <w:r>
        <w:rPr>
          <w:b/>
        </w:rPr>
        <w:t xml:space="preserve">The size of format 0_0/1_0 in CSS and USS in SCells is determined using the active UL/DL BWP, and the frequency RA field is interpreted using the active BWP. </w:t>
      </w:r>
      <w:r w:rsidRPr="00A41D9F">
        <w:t>(Note that this modifies part of the previous agreements on format 0_0/1_0 size.)</w:t>
      </w:r>
    </w:p>
    <w:p w14:paraId="54A98B0C" w14:textId="77777777" w:rsidR="00250943" w:rsidRPr="00F6260C" w:rsidRDefault="00250943" w:rsidP="00250943">
      <w:pPr>
        <w:rPr>
          <w:b/>
        </w:rPr>
      </w:pPr>
      <w:r w:rsidRPr="00C47290">
        <w:rPr>
          <w:b/>
        </w:rPr>
        <w:t>Pro</w:t>
      </w:r>
      <w:r>
        <w:rPr>
          <w:b/>
        </w:rPr>
        <w:t>posal 4</w:t>
      </w:r>
      <w:r w:rsidRPr="00F6260C">
        <w:rPr>
          <w:b/>
        </w:rPr>
        <w:t xml:space="preserve">: For </w:t>
      </w:r>
      <w:r>
        <w:rPr>
          <w:b/>
        </w:rPr>
        <w:t xml:space="preserve">format 1_0 in USS, </w:t>
      </w:r>
      <w:r w:rsidRPr="00F6260C">
        <w:rPr>
          <w:b/>
        </w:rPr>
        <w:t xml:space="preserve">in case the DCI size is determined using the initial BWP instead of the active BWP, one of the following options </w:t>
      </w:r>
      <w:r>
        <w:rPr>
          <w:b/>
        </w:rPr>
        <w:t>is</w:t>
      </w:r>
      <w:r w:rsidRPr="00F6260C">
        <w:rPr>
          <w:b/>
        </w:rPr>
        <w:t xml:space="preserve"> used for </w:t>
      </w:r>
      <w:r>
        <w:rPr>
          <w:b/>
        </w:rPr>
        <w:t xml:space="preserve">the </w:t>
      </w:r>
      <w:r w:rsidRPr="00F6260C">
        <w:rPr>
          <w:b/>
        </w:rPr>
        <w:t>interpretation of frequency RA field:</w:t>
      </w:r>
    </w:p>
    <w:p w14:paraId="07482713" w14:textId="77777777" w:rsidR="00250943" w:rsidRPr="00A963A1" w:rsidRDefault="00250943" w:rsidP="00250943">
      <w:pPr>
        <w:pStyle w:val="ListParagraph"/>
        <w:numPr>
          <w:ilvl w:val="0"/>
          <w:numId w:val="25"/>
        </w:numPr>
        <w:rPr>
          <w:b/>
          <w:sz w:val="20"/>
          <w:szCs w:val="20"/>
          <w:lang w:val="en-US"/>
        </w:rPr>
      </w:pPr>
      <w:r w:rsidRPr="00A963A1">
        <w:rPr>
          <w:b/>
          <w:sz w:val="20"/>
          <w:szCs w:val="20"/>
          <w:lang w:val="en-US"/>
        </w:rPr>
        <w:t>Derive the start position and length from RIV based on the initial BWP or a virtual BWP (the maximum bandwidth that can be supported by the bitwidth of the frequency RA field), and apply them to the active BWP, or</w:t>
      </w:r>
    </w:p>
    <w:p w14:paraId="760FC3F7" w14:textId="159BC5B0" w:rsidR="00250943" w:rsidRDefault="00250943" w:rsidP="00250943">
      <w:pPr>
        <w:pStyle w:val="ListParagraph"/>
        <w:numPr>
          <w:ilvl w:val="0"/>
          <w:numId w:val="25"/>
        </w:numPr>
        <w:rPr>
          <w:b/>
          <w:sz w:val="20"/>
          <w:szCs w:val="20"/>
          <w:lang w:val="en-US"/>
        </w:rPr>
      </w:pPr>
      <w:r w:rsidRPr="00A963A1">
        <w:rPr>
          <w:b/>
          <w:sz w:val="20"/>
          <w:szCs w:val="20"/>
          <w:lang w:val="en-US"/>
        </w:rPr>
        <w:t xml:space="preserve">Derive the start position and length from RIV based on the initial BWP, apply a scaling factor and then apply to the active BWP </w:t>
      </w:r>
    </w:p>
    <w:p w14:paraId="13FB9BE0" w14:textId="3B718C5E" w:rsidR="00250943" w:rsidRDefault="00250943" w:rsidP="00250943">
      <w:pPr>
        <w:rPr>
          <w:b/>
          <w:lang w:val="en-US"/>
        </w:rPr>
      </w:pPr>
    </w:p>
    <w:p w14:paraId="64C81F4F" w14:textId="77777777" w:rsidR="00250943" w:rsidRDefault="00250943" w:rsidP="00250943">
      <w:pPr>
        <w:rPr>
          <w:b/>
          <w:lang w:val="en-US"/>
        </w:rPr>
      </w:pPr>
      <w:r w:rsidRPr="0002742C">
        <w:rPr>
          <w:b/>
          <w:lang w:val="en-US"/>
        </w:rPr>
        <w:t xml:space="preserve">Proposal 5: For format 0_0, the interpretation </w:t>
      </w:r>
      <w:r>
        <w:rPr>
          <w:b/>
          <w:lang w:val="en-US"/>
        </w:rPr>
        <w:t>of the frequency RA field follows</w:t>
      </w:r>
      <w:r w:rsidRPr="0002742C">
        <w:rPr>
          <w:b/>
          <w:lang w:val="en-US"/>
        </w:rPr>
        <w:t xml:space="preserve"> the same </w:t>
      </w:r>
      <w:r>
        <w:rPr>
          <w:b/>
          <w:lang w:val="en-US"/>
        </w:rPr>
        <w:t xml:space="preserve">rules </w:t>
      </w:r>
      <w:r w:rsidRPr="0002742C">
        <w:rPr>
          <w:b/>
          <w:lang w:val="en-US"/>
        </w:rPr>
        <w:t>as format 1_0</w:t>
      </w:r>
      <w:r>
        <w:rPr>
          <w:b/>
          <w:lang w:val="en-US"/>
        </w:rPr>
        <w:t>, with DL BWP replaced by UL BWP</w:t>
      </w:r>
      <w:r w:rsidRPr="0002742C">
        <w:rPr>
          <w:b/>
          <w:lang w:val="en-US"/>
        </w:rPr>
        <w:t>.</w:t>
      </w:r>
    </w:p>
    <w:p w14:paraId="5E625816" w14:textId="77777777" w:rsidR="00250943" w:rsidRDefault="00250943" w:rsidP="00250943">
      <w:pPr>
        <w:rPr>
          <w:b/>
          <w:lang w:val="en-US"/>
        </w:rPr>
      </w:pPr>
      <w:r>
        <w:rPr>
          <w:b/>
          <w:lang w:val="en-US"/>
        </w:rPr>
        <w:t>Proposal 6</w:t>
      </w:r>
      <w:r w:rsidRPr="0002742C">
        <w:rPr>
          <w:b/>
          <w:lang w:val="en-US"/>
        </w:rPr>
        <w:t xml:space="preserve">: </w:t>
      </w:r>
      <w:r>
        <w:rPr>
          <w:b/>
          <w:lang w:val="en-US"/>
        </w:rPr>
        <w:t>If it is agreed that the initial DL BWP is extended to always include SSB, f</w:t>
      </w:r>
      <w:r w:rsidRPr="0002742C">
        <w:rPr>
          <w:b/>
          <w:lang w:val="en-US"/>
        </w:rPr>
        <w:t>or format 0_0</w:t>
      </w:r>
      <w:r w:rsidRPr="007C7416">
        <w:rPr>
          <w:b/>
          <w:lang w:val="en-US"/>
        </w:rPr>
        <w:t xml:space="preserve"> in CSS </w:t>
      </w:r>
      <w:r>
        <w:rPr>
          <w:b/>
          <w:lang w:val="en-US"/>
        </w:rPr>
        <w:t>in PCell/SpCell</w:t>
      </w:r>
      <w:r w:rsidRPr="007C7416">
        <w:rPr>
          <w:b/>
          <w:lang w:val="en-US"/>
        </w:rPr>
        <w:t>:</w:t>
      </w:r>
    </w:p>
    <w:p w14:paraId="6A410983" w14:textId="77777777" w:rsidR="00EF3B2E" w:rsidRPr="003B1564" w:rsidRDefault="00EF3B2E" w:rsidP="00EF3B2E">
      <w:pPr>
        <w:pStyle w:val="ListParagraph"/>
        <w:numPr>
          <w:ilvl w:val="0"/>
          <w:numId w:val="29"/>
        </w:numPr>
        <w:rPr>
          <w:b/>
          <w:sz w:val="20"/>
          <w:lang w:val="en-GB"/>
        </w:rPr>
      </w:pPr>
      <w:r w:rsidRPr="0032033C">
        <w:rPr>
          <w:b/>
          <w:color w:val="FF0000"/>
          <w:sz w:val="20"/>
          <w:lang w:val="en-US"/>
        </w:rPr>
        <w:t>the RB numbering for the scheduled PDSCH starts from the lowest RB in the initial DL BWP if the initial DL BWP</w:t>
      </w:r>
      <w:r>
        <w:rPr>
          <w:b/>
          <w:color w:val="FF0000"/>
          <w:sz w:val="20"/>
          <w:lang w:val="en-US"/>
        </w:rPr>
        <w:t xml:space="preserve"> falls within the active DL BWP</w:t>
      </w:r>
      <w:r w:rsidRPr="0032033C">
        <w:rPr>
          <w:b/>
          <w:color w:val="FF0000"/>
          <w:sz w:val="20"/>
          <w:lang w:val="en-US"/>
        </w:rPr>
        <w:t xml:space="preserve">, otherwise </w:t>
      </w:r>
      <w:r>
        <w:rPr>
          <w:b/>
          <w:sz w:val="20"/>
          <w:lang w:val="en-US"/>
        </w:rPr>
        <w:t>it starts from the lowest RB in the CORESET.</w:t>
      </w:r>
    </w:p>
    <w:p w14:paraId="34F097F5" w14:textId="77777777" w:rsidR="00250943" w:rsidRPr="003B1564" w:rsidRDefault="00250943" w:rsidP="00250943">
      <w:pPr>
        <w:pStyle w:val="ListParagraph"/>
        <w:numPr>
          <w:ilvl w:val="0"/>
          <w:numId w:val="29"/>
        </w:numPr>
        <w:rPr>
          <w:b/>
          <w:sz w:val="20"/>
          <w:lang w:val="en-GB"/>
        </w:rPr>
      </w:pPr>
      <w:r w:rsidRPr="003B1564">
        <w:rPr>
          <w:b/>
          <w:sz w:val="20"/>
          <w:lang w:val="en-US"/>
        </w:rPr>
        <w:t>the maximum number of RBs possible to indicate in the DCI is given by the size of the initial DL BWP.</w:t>
      </w:r>
    </w:p>
    <w:p w14:paraId="0D025046" w14:textId="77777777" w:rsidR="00250943" w:rsidRPr="007449F8" w:rsidRDefault="00250943" w:rsidP="00250943">
      <w:pPr>
        <w:rPr>
          <w:lang w:val="en-US"/>
        </w:rPr>
      </w:pPr>
      <w:r>
        <w:rPr>
          <w:lang w:val="en-US"/>
        </w:rPr>
        <w:t>(Note that this would override the previous agreements.)</w:t>
      </w:r>
    </w:p>
    <w:p w14:paraId="460819E1" w14:textId="77777777" w:rsidR="00250943" w:rsidRPr="00250943" w:rsidRDefault="00250943" w:rsidP="00250943">
      <w:pPr>
        <w:rPr>
          <w:b/>
          <w:lang w:val="en-US"/>
        </w:rPr>
      </w:pPr>
    </w:p>
    <w:p w14:paraId="61168CDD" w14:textId="7E55C6D0" w:rsidR="0002742C" w:rsidRPr="00250943" w:rsidRDefault="0002742C" w:rsidP="00E851FF"/>
    <w:p w14:paraId="45861850" w14:textId="0FDEFAE5" w:rsidR="00B54A28" w:rsidRDefault="00B54A28" w:rsidP="00B54A28">
      <w:pPr>
        <w:pStyle w:val="Heading1"/>
        <w:rPr>
          <w:color w:val="000000"/>
        </w:rPr>
      </w:pPr>
      <w:r>
        <w:rPr>
          <w:color w:val="000000"/>
        </w:rPr>
        <w:t>References</w:t>
      </w:r>
    </w:p>
    <w:p w14:paraId="2814C415" w14:textId="4D2E5B32" w:rsidR="00C65DFA" w:rsidRDefault="00C65DFA" w:rsidP="00E851FF">
      <w:pPr>
        <w:rPr>
          <w:lang w:val="en-US"/>
        </w:rPr>
      </w:pPr>
      <w:r>
        <w:rPr>
          <w:lang w:val="en-US"/>
        </w:rPr>
        <w:t>[1] R1-1806143, “</w:t>
      </w:r>
      <w:r w:rsidRPr="00C65DFA">
        <w:rPr>
          <w:lang w:val="en-US"/>
        </w:rPr>
        <w:t>On remaining details of BWP</w:t>
      </w:r>
      <w:r>
        <w:rPr>
          <w:lang w:val="en-US"/>
        </w:rPr>
        <w:t>”, Nokia, Nokia Shanghai Bell, RAN1#93, May 2018.</w:t>
      </w:r>
    </w:p>
    <w:p w14:paraId="3BB90F20" w14:textId="6C5A590E" w:rsidR="00B54A28" w:rsidRDefault="00B54A28" w:rsidP="00E851FF">
      <w:pPr>
        <w:rPr>
          <w:lang w:val="en-US"/>
        </w:rPr>
      </w:pPr>
      <w:r>
        <w:rPr>
          <w:lang w:val="en-US"/>
        </w:rPr>
        <w:t>[</w:t>
      </w:r>
      <w:r w:rsidR="00C65DFA">
        <w:rPr>
          <w:lang w:val="en-US"/>
        </w:rPr>
        <w:t>2</w:t>
      </w:r>
      <w:r>
        <w:rPr>
          <w:lang w:val="en-US"/>
        </w:rPr>
        <w:t>] R1-180</w:t>
      </w:r>
      <w:r w:rsidR="00855A15">
        <w:rPr>
          <w:lang w:val="en-US"/>
        </w:rPr>
        <w:t>7177</w:t>
      </w:r>
      <w:r>
        <w:rPr>
          <w:lang w:val="en-US"/>
        </w:rPr>
        <w:t>, “</w:t>
      </w:r>
      <w:r w:rsidR="000F7385">
        <w:rPr>
          <w:rFonts w:cs="Calibri"/>
          <w:lang w:val="en-US" w:eastAsia="fi-FI"/>
        </w:rPr>
        <w:t>Initial active BWP definition for RMSI multiplexing pattern 2 and 3</w:t>
      </w:r>
      <w:r>
        <w:rPr>
          <w:lang w:val="en-US"/>
        </w:rPr>
        <w:t>”, Nokia, Nokia Shanghai Bell, RAN1#93, May 2018.</w:t>
      </w:r>
    </w:p>
    <w:p w14:paraId="71EE3F83" w14:textId="77777777" w:rsidR="007C453F" w:rsidRPr="00C47290" w:rsidRDefault="007C453F" w:rsidP="00E851FF"/>
    <w:p w14:paraId="1B968D85" w14:textId="7C569382" w:rsidR="003578D2" w:rsidRDefault="003578D2" w:rsidP="00DC4600"/>
    <w:p w14:paraId="2065D000" w14:textId="77777777" w:rsidR="009E47BD" w:rsidRPr="004155F9" w:rsidRDefault="009E47BD" w:rsidP="00DC4600"/>
    <w:sectPr w:rsidR="009E47BD" w:rsidRPr="004155F9" w:rsidSect="006C4BA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46B50" w14:textId="77777777" w:rsidR="00585C3B" w:rsidRDefault="00585C3B">
      <w:r>
        <w:separator/>
      </w:r>
    </w:p>
  </w:endnote>
  <w:endnote w:type="continuationSeparator" w:id="0">
    <w:p w14:paraId="6A0392FD" w14:textId="77777777" w:rsidR="00585C3B" w:rsidRDefault="00585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modern"/>
    <w:pitch w:val="fixed"/>
    <w:sig w:usb0="00000000"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9B15F" w14:textId="77777777" w:rsidR="00585C3B" w:rsidRDefault="00585C3B">
      <w:r>
        <w:separator/>
      </w:r>
    </w:p>
  </w:footnote>
  <w:footnote w:type="continuationSeparator" w:id="0">
    <w:p w14:paraId="1F750CAC" w14:textId="77777777" w:rsidR="00585C3B" w:rsidRDefault="00585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10C"/>
    <w:multiLevelType w:val="hybridMultilevel"/>
    <w:tmpl w:val="D92C0C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A524CD5A">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561C2"/>
    <w:multiLevelType w:val="hybridMultilevel"/>
    <w:tmpl w:val="1520EF0E"/>
    <w:lvl w:ilvl="0" w:tplc="1CF42B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896D3F"/>
    <w:multiLevelType w:val="hybridMultilevel"/>
    <w:tmpl w:val="ABC2A936"/>
    <w:lvl w:ilvl="0" w:tplc="F718E8CA">
      <w:start w:val="1"/>
      <w:numFmt w:val="bullet"/>
      <w:lvlText w:val="-"/>
      <w:lvlJc w:val="left"/>
      <w:pPr>
        <w:tabs>
          <w:tab w:val="num" w:pos="720"/>
        </w:tabs>
        <w:ind w:left="720" w:hanging="360"/>
      </w:pPr>
      <w:rPr>
        <w:rFonts w:ascii="Lucida Grande" w:hAnsi="Lucida Grande" w:hint="default"/>
      </w:rPr>
    </w:lvl>
    <w:lvl w:ilvl="1" w:tplc="31FC0DDC">
      <w:start w:val="1"/>
      <w:numFmt w:val="bullet"/>
      <w:lvlText w:val="-"/>
      <w:lvlJc w:val="left"/>
      <w:pPr>
        <w:tabs>
          <w:tab w:val="num" w:pos="1440"/>
        </w:tabs>
        <w:ind w:left="1440" w:hanging="360"/>
      </w:pPr>
      <w:rPr>
        <w:rFonts w:ascii="Lucida Grande" w:hAnsi="Lucida Grande" w:hint="default"/>
      </w:rPr>
    </w:lvl>
    <w:lvl w:ilvl="2" w:tplc="364EA1BE">
      <w:numFmt w:val="bullet"/>
      <w:lvlText w:val="•"/>
      <w:lvlJc w:val="left"/>
      <w:pPr>
        <w:tabs>
          <w:tab w:val="num" w:pos="2160"/>
        </w:tabs>
        <w:ind w:left="2160" w:hanging="360"/>
      </w:pPr>
      <w:rPr>
        <w:rFonts w:ascii="Arial" w:hAnsi="Arial" w:hint="default"/>
      </w:rPr>
    </w:lvl>
    <w:lvl w:ilvl="3" w:tplc="868068A0">
      <w:numFmt w:val="bullet"/>
      <w:lvlText w:val="-"/>
      <w:lvlJc w:val="left"/>
      <w:pPr>
        <w:tabs>
          <w:tab w:val="num" w:pos="2880"/>
        </w:tabs>
        <w:ind w:left="2880" w:hanging="360"/>
      </w:pPr>
      <w:rPr>
        <w:rFonts w:ascii="Lucida Grande" w:hAnsi="Lucida Grande" w:hint="default"/>
      </w:rPr>
    </w:lvl>
    <w:lvl w:ilvl="4" w:tplc="30E8AFAE" w:tentative="1">
      <w:start w:val="1"/>
      <w:numFmt w:val="bullet"/>
      <w:lvlText w:val="-"/>
      <w:lvlJc w:val="left"/>
      <w:pPr>
        <w:tabs>
          <w:tab w:val="num" w:pos="3600"/>
        </w:tabs>
        <w:ind w:left="3600" w:hanging="360"/>
      </w:pPr>
      <w:rPr>
        <w:rFonts w:ascii="Lucida Grande" w:hAnsi="Lucida Grande" w:hint="default"/>
      </w:rPr>
    </w:lvl>
    <w:lvl w:ilvl="5" w:tplc="2F64654E" w:tentative="1">
      <w:start w:val="1"/>
      <w:numFmt w:val="bullet"/>
      <w:lvlText w:val="-"/>
      <w:lvlJc w:val="left"/>
      <w:pPr>
        <w:tabs>
          <w:tab w:val="num" w:pos="4320"/>
        </w:tabs>
        <w:ind w:left="4320" w:hanging="360"/>
      </w:pPr>
      <w:rPr>
        <w:rFonts w:ascii="Lucida Grande" w:hAnsi="Lucida Grande" w:hint="default"/>
      </w:rPr>
    </w:lvl>
    <w:lvl w:ilvl="6" w:tplc="C0983A10" w:tentative="1">
      <w:start w:val="1"/>
      <w:numFmt w:val="bullet"/>
      <w:lvlText w:val="-"/>
      <w:lvlJc w:val="left"/>
      <w:pPr>
        <w:tabs>
          <w:tab w:val="num" w:pos="5040"/>
        </w:tabs>
        <w:ind w:left="5040" w:hanging="360"/>
      </w:pPr>
      <w:rPr>
        <w:rFonts w:ascii="Lucida Grande" w:hAnsi="Lucida Grande" w:hint="default"/>
      </w:rPr>
    </w:lvl>
    <w:lvl w:ilvl="7" w:tplc="F20EC814" w:tentative="1">
      <w:start w:val="1"/>
      <w:numFmt w:val="bullet"/>
      <w:lvlText w:val="-"/>
      <w:lvlJc w:val="left"/>
      <w:pPr>
        <w:tabs>
          <w:tab w:val="num" w:pos="5760"/>
        </w:tabs>
        <w:ind w:left="5760" w:hanging="360"/>
      </w:pPr>
      <w:rPr>
        <w:rFonts w:ascii="Lucida Grande" w:hAnsi="Lucida Grande" w:hint="default"/>
      </w:rPr>
    </w:lvl>
    <w:lvl w:ilvl="8" w:tplc="5B5A0110"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85568C"/>
    <w:multiLevelType w:val="hybridMultilevel"/>
    <w:tmpl w:val="F1B43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7B100A"/>
    <w:multiLevelType w:val="hybridMultilevel"/>
    <w:tmpl w:val="FB06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53817"/>
    <w:multiLevelType w:val="hybridMultilevel"/>
    <w:tmpl w:val="07CC7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1449A8"/>
    <w:multiLevelType w:val="hybridMultilevel"/>
    <w:tmpl w:val="41B2A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7D7178F"/>
    <w:multiLevelType w:val="hybridMultilevel"/>
    <w:tmpl w:val="1F984F20"/>
    <w:lvl w:ilvl="0" w:tplc="7DC2F8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19" w15:restartNumberingAfterBreak="0">
    <w:nsid w:val="64042D52"/>
    <w:multiLevelType w:val="hybridMultilevel"/>
    <w:tmpl w:val="193EA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0A002C"/>
    <w:multiLevelType w:val="hybridMultilevel"/>
    <w:tmpl w:val="99C6E6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340111"/>
    <w:multiLevelType w:val="hybridMultilevel"/>
    <w:tmpl w:val="07A0CCB0"/>
    <w:lvl w:ilvl="0" w:tplc="432AF3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14"/>
  </w:num>
  <w:num w:numId="4">
    <w:abstractNumId w:val="3"/>
  </w:num>
  <w:num w:numId="5">
    <w:abstractNumId w:val="18"/>
  </w:num>
  <w:num w:numId="6">
    <w:abstractNumId w:val="5"/>
  </w:num>
  <w:num w:numId="7">
    <w:abstractNumId w:val="20"/>
  </w:num>
  <w:num w:numId="8">
    <w:abstractNumId w:val="16"/>
  </w:num>
  <w:num w:numId="9">
    <w:abstractNumId w:val="7"/>
  </w:num>
  <w:num w:numId="10">
    <w:abstractNumId w:val="11"/>
  </w:num>
  <w:num w:numId="11">
    <w:abstractNumId w:val="7"/>
  </w:num>
  <w:num w:numId="12">
    <w:abstractNumId w:val="26"/>
  </w:num>
  <w:num w:numId="13">
    <w:abstractNumId w:val="21"/>
  </w:num>
  <w:num w:numId="14">
    <w:abstractNumId w:val="6"/>
  </w:num>
  <w:num w:numId="15">
    <w:abstractNumId w:val="2"/>
  </w:num>
  <w:num w:numId="16">
    <w:abstractNumId w:val="19"/>
  </w:num>
  <w:num w:numId="17">
    <w:abstractNumId w:val="0"/>
  </w:num>
  <w:num w:numId="18">
    <w:abstractNumId w:val="15"/>
  </w:num>
  <w:num w:numId="19">
    <w:abstractNumId w:val="4"/>
  </w:num>
  <w:num w:numId="20">
    <w:abstractNumId w:val="12"/>
  </w:num>
  <w:num w:numId="21">
    <w:abstractNumId w:val="17"/>
  </w:num>
  <w:num w:numId="22">
    <w:abstractNumId w:val="22"/>
  </w:num>
  <w:num w:numId="23">
    <w:abstractNumId w:val="10"/>
  </w:num>
  <w:num w:numId="24">
    <w:abstractNumId w:val="23"/>
  </w:num>
  <w:num w:numId="25">
    <w:abstractNumId w:val="13"/>
  </w:num>
  <w:num w:numId="26">
    <w:abstractNumId w:val="24"/>
  </w:num>
  <w:num w:numId="27">
    <w:abstractNumId w:val="1"/>
  </w:num>
  <w:num w:numId="28">
    <w:abstractNumId w:val="2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6CB9"/>
    <w:rsid w:val="00006E0D"/>
    <w:rsid w:val="000074C4"/>
    <w:rsid w:val="000079A6"/>
    <w:rsid w:val="00010E2C"/>
    <w:rsid w:val="00011299"/>
    <w:rsid w:val="00011BB2"/>
    <w:rsid w:val="00012505"/>
    <w:rsid w:val="00012685"/>
    <w:rsid w:val="00012C4F"/>
    <w:rsid w:val="000131D1"/>
    <w:rsid w:val="00013455"/>
    <w:rsid w:val="000134E3"/>
    <w:rsid w:val="00013632"/>
    <w:rsid w:val="00013A9E"/>
    <w:rsid w:val="00013F5E"/>
    <w:rsid w:val="0001403F"/>
    <w:rsid w:val="0001487F"/>
    <w:rsid w:val="00014F35"/>
    <w:rsid w:val="00015F98"/>
    <w:rsid w:val="000166AC"/>
    <w:rsid w:val="00016B78"/>
    <w:rsid w:val="00017B7F"/>
    <w:rsid w:val="00017E0D"/>
    <w:rsid w:val="00017EDA"/>
    <w:rsid w:val="000212A5"/>
    <w:rsid w:val="00021C4A"/>
    <w:rsid w:val="00022B8C"/>
    <w:rsid w:val="00023742"/>
    <w:rsid w:val="00024AEF"/>
    <w:rsid w:val="00026C65"/>
    <w:rsid w:val="00026E5F"/>
    <w:rsid w:val="0002742C"/>
    <w:rsid w:val="00027755"/>
    <w:rsid w:val="0002789E"/>
    <w:rsid w:val="00030048"/>
    <w:rsid w:val="0003072D"/>
    <w:rsid w:val="000314CD"/>
    <w:rsid w:val="00033544"/>
    <w:rsid w:val="0003479E"/>
    <w:rsid w:val="000353EA"/>
    <w:rsid w:val="00035691"/>
    <w:rsid w:val="0003767C"/>
    <w:rsid w:val="0004016B"/>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4F"/>
    <w:rsid w:val="00052BBA"/>
    <w:rsid w:val="00053588"/>
    <w:rsid w:val="00054D9D"/>
    <w:rsid w:val="00055676"/>
    <w:rsid w:val="00056454"/>
    <w:rsid w:val="00056544"/>
    <w:rsid w:val="00060D8E"/>
    <w:rsid w:val="00062159"/>
    <w:rsid w:val="0006296A"/>
    <w:rsid w:val="00063D9E"/>
    <w:rsid w:val="00064AD3"/>
    <w:rsid w:val="00065088"/>
    <w:rsid w:val="000652D3"/>
    <w:rsid w:val="000654A0"/>
    <w:rsid w:val="00065E94"/>
    <w:rsid w:val="000701AD"/>
    <w:rsid w:val="000707CA"/>
    <w:rsid w:val="000717FB"/>
    <w:rsid w:val="000719BF"/>
    <w:rsid w:val="0007208A"/>
    <w:rsid w:val="00072BBA"/>
    <w:rsid w:val="00072FF5"/>
    <w:rsid w:val="00075FDA"/>
    <w:rsid w:val="00076386"/>
    <w:rsid w:val="00076D82"/>
    <w:rsid w:val="00080544"/>
    <w:rsid w:val="00081EC2"/>
    <w:rsid w:val="00082154"/>
    <w:rsid w:val="00083800"/>
    <w:rsid w:val="00084596"/>
    <w:rsid w:val="00084A65"/>
    <w:rsid w:val="0008559A"/>
    <w:rsid w:val="000902C2"/>
    <w:rsid w:val="00090739"/>
    <w:rsid w:val="00090FA0"/>
    <w:rsid w:val="00091A92"/>
    <w:rsid w:val="000928D4"/>
    <w:rsid w:val="00093C49"/>
    <w:rsid w:val="000944CB"/>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2FCF"/>
    <w:rsid w:val="000B3B91"/>
    <w:rsid w:val="000B3BA2"/>
    <w:rsid w:val="000B4207"/>
    <w:rsid w:val="000B4B1B"/>
    <w:rsid w:val="000B50C3"/>
    <w:rsid w:val="000B5AC9"/>
    <w:rsid w:val="000B5F0A"/>
    <w:rsid w:val="000C1D59"/>
    <w:rsid w:val="000C2B09"/>
    <w:rsid w:val="000C30CF"/>
    <w:rsid w:val="000C501D"/>
    <w:rsid w:val="000C5CBA"/>
    <w:rsid w:val="000C5EE7"/>
    <w:rsid w:val="000C74BA"/>
    <w:rsid w:val="000C7531"/>
    <w:rsid w:val="000C7C3F"/>
    <w:rsid w:val="000C7E0F"/>
    <w:rsid w:val="000D0086"/>
    <w:rsid w:val="000D0BD6"/>
    <w:rsid w:val="000D0C61"/>
    <w:rsid w:val="000D27AD"/>
    <w:rsid w:val="000D29D1"/>
    <w:rsid w:val="000D2B0A"/>
    <w:rsid w:val="000D3286"/>
    <w:rsid w:val="000D344D"/>
    <w:rsid w:val="000D40E7"/>
    <w:rsid w:val="000D584F"/>
    <w:rsid w:val="000D68A0"/>
    <w:rsid w:val="000D76BC"/>
    <w:rsid w:val="000D7750"/>
    <w:rsid w:val="000D7B78"/>
    <w:rsid w:val="000E071E"/>
    <w:rsid w:val="000E07EC"/>
    <w:rsid w:val="000E0DEE"/>
    <w:rsid w:val="000E0FB7"/>
    <w:rsid w:val="000E181D"/>
    <w:rsid w:val="000E2090"/>
    <w:rsid w:val="000E27AA"/>
    <w:rsid w:val="000E337A"/>
    <w:rsid w:val="000E34FD"/>
    <w:rsid w:val="000E4350"/>
    <w:rsid w:val="000E4376"/>
    <w:rsid w:val="000E4408"/>
    <w:rsid w:val="000E5716"/>
    <w:rsid w:val="000E7A79"/>
    <w:rsid w:val="000F15B2"/>
    <w:rsid w:val="000F19DE"/>
    <w:rsid w:val="000F2E1F"/>
    <w:rsid w:val="000F37B0"/>
    <w:rsid w:val="000F3E0E"/>
    <w:rsid w:val="000F3E12"/>
    <w:rsid w:val="000F4595"/>
    <w:rsid w:val="000F4CB2"/>
    <w:rsid w:val="000F4E44"/>
    <w:rsid w:val="000F4E90"/>
    <w:rsid w:val="000F568D"/>
    <w:rsid w:val="000F68D0"/>
    <w:rsid w:val="000F6B15"/>
    <w:rsid w:val="000F7385"/>
    <w:rsid w:val="0010170B"/>
    <w:rsid w:val="00101C4F"/>
    <w:rsid w:val="00102C5A"/>
    <w:rsid w:val="00102C9F"/>
    <w:rsid w:val="001068D2"/>
    <w:rsid w:val="001069F2"/>
    <w:rsid w:val="00107417"/>
    <w:rsid w:val="001103BD"/>
    <w:rsid w:val="00111208"/>
    <w:rsid w:val="001115E4"/>
    <w:rsid w:val="00111808"/>
    <w:rsid w:val="0011339F"/>
    <w:rsid w:val="00113B8F"/>
    <w:rsid w:val="00113EC8"/>
    <w:rsid w:val="00114E96"/>
    <w:rsid w:val="00114F74"/>
    <w:rsid w:val="001152C7"/>
    <w:rsid w:val="00115C88"/>
    <w:rsid w:val="0011644A"/>
    <w:rsid w:val="00117332"/>
    <w:rsid w:val="0011784B"/>
    <w:rsid w:val="001204DD"/>
    <w:rsid w:val="00121493"/>
    <w:rsid w:val="00122839"/>
    <w:rsid w:val="00122B7B"/>
    <w:rsid w:val="001237AC"/>
    <w:rsid w:val="00123EE2"/>
    <w:rsid w:val="00124E12"/>
    <w:rsid w:val="00124E75"/>
    <w:rsid w:val="0012673D"/>
    <w:rsid w:val="001269B8"/>
    <w:rsid w:val="00126A02"/>
    <w:rsid w:val="00127099"/>
    <w:rsid w:val="00131BA8"/>
    <w:rsid w:val="00132830"/>
    <w:rsid w:val="00132B71"/>
    <w:rsid w:val="0013427A"/>
    <w:rsid w:val="00134B36"/>
    <w:rsid w:val="00134D55"/>
    <w:rsid w:val="00135FA5"/>
    <w:rsid w:val="001360F3"/>
    <w:rsid w:val="001362C2"/>
    <w:rsid w:val="0013678C"/>
    <w:rsid w:val="00136955"/>
    <w:rsid w:val="00136E19"/>
    <w:rsid w:val="001371B2"/>
    <w:rsid w:val="00137AB9"/>
    <w:rsid w:val="00137D78"/>
    <w:rsid w:val="0014060C"/>
    <w:rsid w:val="001409A0"/>
    <w:rsid w:val="00140CEC"/>
    <w:rsid w:val="001418D9"/>
    <w:rsid w:val="00141CBA"/>
    <w:rsid w:val="00141E40"/>
    <w:rsid w:val="00141F08"/>
    <w:rsid w:val="00141FF2"/>
    <w:rsid w:val="0014287A"/>
    <w:rsid w:val="00142DE2"/>
    <w:rsid w:val="00144C87"/>
    <w:rsid w:val="001467B1"/>
    <w:rsid w:val="00147897"/>
    <w:rsid w:val="00150109"/>
    <w:rsid w:val="00150175"/>
    <w:rsid w:val="00150251"/>
    <w:rsid w:val="001502C8"/>
    <w:rsid w:val="00151011"/>
    <w:rsid w:val="00151224"/>
    <w:rsid w:val="00151284"/>
    <w:rsid w:val="0015130F"/>
    <w:rsid w:val="001521C9"/>
    <w:rsid w:val="00152ABB"/>
    <w:rsid w:val="00152F8E"/>
    <w:rsid w:val="001532BA"/>
    <w:rsid w:val="00155B98"/>
    <w:rsid w:val="00155BFD"/>
    <w:rsid w:val="00156ABA"/>
    <w:rsid w:val="00157390"/>
    <w:rsid w:val="001606EC"/>
    <w:rsid w:val="00160998"/>
    <w:rsid w:val="00160CD6"/>
    <w:rsid w:val="00160F5F"/>
    <w:rsid w:val="0016100A"/>
    <w:rsid w:val="00162308"/>
    <w:rsid w:val="00162A09"/>
    <w:rsid w:val="0016316A"/>
    <w:rsid w:val="0016381F"/>
    <w:rsid w:val="00163D1D"/>
    <w:rsid w:val="00164171"/>
    <w:rsid w:val="00164E58"/>
    <w:rsid w:val="00165033"/>
    <w:rsid w:val="001665EB"/>
    <w:rsid w:val="001670EA"/>
    <w:rsid w:val="001674A0"/>
    <w:rsid w:val="00170A50"/>
    <w:rsid w:val="00174FFD"/>
    <w:rsid w:val="001759CA"/>
    <w:rsid w:val="001769A8"/>
    <w:rsid w:val="0017726A"/>
    <w:rsid w:val="00177DD3"/>
    <w:rsid w:val="00180278"/>
    <w:rsid w:val="001807F2"/>
    <w:rsid w:val="001818A7"/>
    <w:rsid w:val="001823CD"/>
    <w:rsid w:val="00182725"/>
    <w:rsid w:val="001829C8"/>
    <w:rsid w:val="00186904"/>
    <w:rsid w:val="00186B0A"/>
    <w:rsid w:val="001905BD"/>
    <w:rsid w:val="00192FE6"/>
    <w:rsid w:val="0019360B"/>
    <w:rsid w:val="00193986"/>
    <w:rsid w:val="00193B08"/>
    <w:rsid w:val="00194570"/>
    <w:rsid w:val="00196530"/>
    <w:rsid w:val="00196BF4"/>
    <w:rsid w:val="001972DA"/>
    <w:rsid w:val="001976AA"/>
    <w:rsid w:val="00197B29"/>
    <w:rsid w:val="001A02F6"/>
    <w:rsid w:val="001A0783"/>
    <w:rsid w:val="001A15C6"/>
    <w:rsid w:val="001A1E08"/>
    <w:rsid w:val="001A2CE6"/>
    <w:rsid w:val="001A50AE"/>
    <w:rsid w:val="001A5510"/>
    <w:rsid w:val="001A5E19"/>
    <w:rsid w:val="001A63D8"/>
    <w:rsid w:val="001A6D7E"/>
    <w:rsid w:val="001B01FA"/>
    <w:rsid w:val="001B0832"/>
    <w:rsid w:val="001B18A7"/>
    <w:rsid w:val="001B2762"/>
    <w:rsid w:val="001B36FC"/>
    <w:rsid w:val="001B41ED"/>
    <w:rsid w:val="001B4607"/>
    <w:rsid w:val="001B7E0C"/>
    <w:rsid w:val="001C0674"/>
    <w:rsid w:val="001C1405"/>
    <w:rsid w:val="001C226F"/>
    <w:rsid w:val="001C4516"/>
    <w:rsid w:val="001C5296"/>
    <w:rsid w:val="001C5872"/>
    <w:rsid w:val="001C66AC"/>
    <w:rsid w:val="001C6754"/>
    <w:rsid w:val="001C6852"/>
    <w:rsid w:val="001C77F0"/>
    <w:rsid w:val="001D1932"/>
    <w:rsid w:val="001D2E3C"/>
    <w:rsid w:val="001D30C9"/>
    <w:rsid w:val="001D43C5"/>
    <w:rsid w:val="001D445B"/>
    <w:rsid w:val="001D46A0"/>
    <w:rsid w:val="001D50C2"/>
    <w:rsid w:val="001D53E6"/>
    <w:rsid w:val="001D63A6"/>
    <w:rsid w:val="001D758B"/>
    <w:rsid w:val="001D7CA4"/>
    <w:rsid w:val="001D7E58"/>
    <w:rsid w:val="001E0B0A"/>
    <w:rsid w:val="001E13B3"/>
    <w:rsid w:val="001E2DA0"/>
    <w:rsid w:val="001E30A0"/>
    <w:rsid w:val="001E3268"/>
    <w:rsid w:val="001E3DE1"/>
    <w:rsid w:val="001E4D4F"/>
    <w:rsid w:val="001E54F9"/>
    <w:rsid w:val="001E57CF"/>
    <w:rsid w:val="001E5981"/>
    <w:rsid w:val="001E6826"/>
    <w:rsid w:val="001E6E8E"/>
    <w:rsid w:val="001E74BA"/>
    <w:rsid w:val="001E7B9F"/>
    <w:rsid w:val="001E7C22"/>
    <w:rsid w:val="001E7FC6"/>
    <w:rsid w:val="001F01FB"/>
    <w:rsid w:val="001F0658"/>
    <w:rsid w:val="001F0C29"/>
    <w:rsid w:val="001F0E92"/>
    <w:rsid w:val="001F1987"/>
    <w:rsid w:val="001F21BC"/>
    <w:rsid w:val="001F23BD"/>
    <w:rsid w:val="001F34DA"/>
    <w:rsid w:val="001F475D"/>
    <w:rsid w:val="001F4DAC"/>
    <w:rsid w:val="001F5019"/>
    <w:rsid w:val="001F51C5"/>
    <w:rsid w:val="001F65B0"/>
    <w:rsid w:val="001F67AA"/>
    <w:rsid w:val="001F6AFD"/>
    <w:rsid w:val="001F7599"/>
    <w:rsid w:val="001F7BD7"/>
    <w:rsid w:val="002016AA"/>
    <w:rsid w:val="0020460B"/>
    <w:rsid w:val="00204A2A"/>
    <w:rsid w:val="00204B22"/>
    <w:rsid w:val="00204B3A"/>
    <w:rsid w:val="0020535A"/>
    <w:rsid w:val="002055CB"/>
    <w:rsid w:val="002059EF"/>
    <w:rsid w:val="00205BDB"/>
    <w:rsid w:val="00206955"/>
    <w:rsid w:val="00210080"/>
    <w:rsid w:val="00210309"/>
    <w:rsid w:val="00211519"/>
    <w:rsid w:val="0021224B"/>
    <w:rsid w:val="00212FB8"/>
    <w:rsid w:val="00213709"/>
    <w:rsid w:val="00214025"/>
    <w:rsid w:val="002149AF"/>
    <w:rsid w:val="00214A86"/>
    <w:rsid w:val="00215AAA"/>
    <w:rsid w:val="0021683C"/>
    <w:rsid w:val="00216F5F"/>
    <w:rsid w:val="00220615"/>
    <w:rsid w:val="00221985"/>
    <w:rsid w:val="00221EC5"/>
    <w:rsid w:val="00222A7A"/>
    <w:rsid w:val="0022352B"/>
    <w:rsid w:val="00224A2C"/>
    <w:rsid w:val="00225217"/>
    <w:rsid w:val="002256D9"/>
    <w:rsid w:val="00226577"/>
    <w:rsid w:val="0022687C"/>
    <w:rsid w:val="002306F8"/>
    <w:rsid w:val="00230CCC"/>
    <w:rsid w:val="00230F55"/>
    <w:rsid w:val="002312F4"/>
    <w:rsid w:val="002313A2"/>
    <w:rsid w:val="00231FC7"/>
    <w:rsid w:val="00232930"/>
    <w:rsid w:val="00232A95"/>
    <w:rsid w:val="00232DD9"/>
    <w:rsid w:val="0023308F"/>
    <w:rsid w:val="00233403"/>
    <w:rsid w:val="00233440"/>
    <w:rsid w:val="0023357A"/>
    <w:rsid w:val="00233D0E"/>
    <w:rsid w:val="00234E80"/>
    <w:rsid w:val="00235D4D"/>
    <w:rsid w:val="00236450"/>
    <w:rsid w:val="0023652F"/>
    <w:rsid w:val="002370AF"/>
    <w:rsid w:val="0023765A"/>
    <w:rsid w:val="00237921"/>
    <w:rsid w:val="00240342"/>
    <w:rsid w:val="0024077C"/>
    <w:rsid w:val="00241124"/>
    <w:rsid w:val="00241311"/>
    <w:rsid w:val="002418E8"/>
    <w:rsid w:val="00241C23"/>
    <w:rsid w:val="00242E22"/>
    <w:rsid w:val="0024336B"/>
    <w:rsid w:val="00244194"/>
    <w:rsid w:val="0024424F"/>
    <w:rsid w:val="00244D28"/>
    <w:rsid w:val="00245720"/>
    <w:rsid w:val="00245A6F"/>
    <w:rsid w:val="00245FD5"/>
    <w:rsid w:val="002477DF"/>
    <w:rsid w:val="00250943"/>
    <w:rsid w:val="00251AD6"/>
    <w:rsid w:val="00252C17"/>
    <w:rsid w:val="0025307F"/>
    <w:rsid w:val="002551BD"/>
    <w:rsid w:val="002568D0"/>
    <w:rsid w:val="002575C0"/>
    <w:rsid w:val="00260AEE"/>
    <w:rsid w:val="00262254"/>
    <w:rsid w:val="00262661"/>
    <w:rsid w:val="00262D9D"/>
    <w:rsid w:val="002632DF"/>
    <w:rsid w:val="00263946"/>
    <w:rsid w:val="002640BA"/>
    <w:rsid w:val="00264CF2"/>
    <w:rsid w:val="002667A8"/>
    <w:rsid w:val="00267587"/>
    <w:rsid w:val="002675C8"/>
    <w:rsid w:val="00267760"/>
    <w:rsid w:val="00271589"/>
    <w:rsid w:val="00273177"/>
    <w:rsid w:val="002735A1"/>
    <w:rsid w:val="00273D6A"/>
    <w:rsid w:val="0027455B"/>
    <w:rsid w:val="00275074"/>
    <w:rsid w:val="002763E9"/>
    <w:rsid w:val="00276736"/>
    <w:rsid w:val="00276F4E"/>
    <w:rsid w:val="00277253"/>
    <w:rsid w:val="0027773D"/>
    <w:rsid w:val="002824C2"/>
    <w:rsid w:val="00284E32"/>
    <w:rsid w:val="002851EB"/>
    <w:rsid w:val="00285510"/>
    <w:rsid w:val="00285BD1"/>
    <w:rsid w:val="00285DE2"/>
    <w:rsid w:val="0028616D"/>
    <w:rsid w:val="00286965"/>
    <w:rsid w:val="0029136E"/>
    <w:rsid w:val="00292399"/>
    <w:rsid w:val="00294445"/>
    <w:rsid w:val="002945F2"/>
    <w:rsid w:val="00294B4D"/>
    <w:rsid w:val="0029537E"/>
    <w:rsid w:val="002960D5"/>
    <w:rsid w:val="00297926"/>
    <w:rsid w:val="002A02C9"/>
    <w:rsid w:val="002A0FC4"/>
    <w:rsid w:val="002A1062"/>
    <w:rsid w:val="002A2012"/>
    <w:rsid w:val="002A2413"/>
    <w:rsid w:val="002A2F5E"/>
    <w:rsid w:val="002A352A"/>
    <w:rsid w:val="002A38E3"/>
    <w:rsid w:val="002A607D"/>
    <w:rsid w:val="002A6DEA"/>
    <w:rsid w:val="002B132E"/>
    <w:rsid w:val="002B1499"/>
    <w:rsid w:val="002B2813"/>
    <w:rsid w:val="002B2D29"/>
    <w:rsid w:val="002B3BBD"/>
    <w:rsid w:val="002B58E3"/>
    <w:rsid w:val="002C0C4B"/>
    <w:rsid w:val="002C1EEA"/>
    <w:rsid w:val="002C42B3"/>
    <w:rsid w:val="002C47AD"/>
    <w:rsid w:val="002C5510"/>
    <w:rsid w:val="002C5B5D"/>
    <w:rsid w:val="002C6034"/>
    <w:rsid w:val="002C635B"/>
    <w:rsid w:val="002C770F"/>
    <w:rsid w:val="002C7CFF"/>
    <w:rsid w:val="002D076C"/>
    <w:rsid w:val="002D0BC6"/>
    <w:rsid w:val="002D17C5"/>
    <w:rsid w:val="002D365F"/>
    <w:rsid w:val="002D51DF"/>
    <w:rsid w:val="002D5889"/>
    <w:rsid w:val="002D6892"/>
    <w:rsid w:val="002D68C2"/>
    <w:rsid w:val="002D7C86"/>
    <w:rsid w:val="002E0692"/>
    <w:rsid w:val="002E1D74"/>
    <w:rsid w:val="002E2943"/>
    <w:rsid w:val="002E2CF1"/>
    <w:rsid w:val="002E34AF"/>
    <w:rsid w:val="002E4AAC"/>
    <w:rsid w:val="002E53DE"/>
    <w:rsid w:val="002E563B"/>
    <w:rsid w:val="002E59A0"/>
    <w:rsid w:val="002E62D2"/>
    <w:rsid w:val="002E734F"/>
    <w:rsid w:val="002E74AF"/>
    <w:rsid w:val="002E758C"/>
    <w:rsid w:val="002F025A"/>
    <w:rsid w:val="002F1038"/>
    <w:rsid w:val="002F22FF"/>
    <w:rsid w:val="002F2D8F"/>
    <w:rsid w:val="002F3444"/>
    <w:rsid w:val="002F4D51"/>
    <w:rsid w:val="002F503B"/>
    <w:rsid w:val="002F54B1"/>
    <w:rsid w:val="002F5755"/>
    <w:rsid w:val="002F5BE4"/>
    <w:rsid w:val="002F695B"/>
    <w:rsid w:val="002F72DA"/>
    <w:rsid w:val="002F76B1"/>
    <w:rsid w:val="002F7D66"/>
    <w:rsid w:val="002F7DBE"/>
    <w:rsid w:val="00300045"/>
    <w:rsid w:val="0030090B"/>
    <w:rsid w:val="00302AE8"/>
    <w:rsid w:val="00302BB1"/>
    <w:rsid w:val="003030F0"/>
    <w:rsid w:val="0030404B"/>
    <w:rsid w:val="00304210"/>
    <w:rsid w:val="003048D7"/>
    <w:rsid w:val="00304A1B"/>
    <w:rsid w:val="00304AD2"/>
    <w:rsid w:val="00304C82"/>
    <w:rsid w:val="00304EAA"/>
    <w:rsid w:val="003062E6"/>
    <w:rsid w:val="003068B6"/>
    <w:rsid w:val="003071F6"/>
    <w:rsid w:val="00307FE0"/>
    <w:rsid w:val="003107EB"/>
    <w:rsid w:val="00311BB1"/>
    <w:rsid w:val="00311C08"/>
    <w:rsid w:val="003120ED"/>
    <w:rsid w:val="003125E0"/>
    <w:rsid w:val="00312ECE"/>
    <w:rsid w:val="0031393C"/>
    <w:rsid w:val="00313CB0"/>
    <w:rsid w:val="00313F96"/>
    <w:rsid w:val="00314B0A"/>
    <w:rsid w:val="003150CE"/>
    <w:rsid w:val="00315AAB"/>
    <w:rsid w:val="003175E1"/>
    <w:rsid w:val="0031796E"/>
    <w:rsid w:val="00320299"/>
    <w:rsid w:val="0032033C"/>
    <w:rsid w:val="00321154"/>
    <w:rsid w:val="003211B0"/>
    <w:rsid w:val="00321790"/>
    <w:rsid w:val="00321EDA"/>
    <w:rsid w:val="003224AA"/>
    <w:rsid w:val="003224E7"/>
    <w:rsid w:val="00325D7A"/>
    <w:rsid w:val="00326145"/>
    <w:rsid w:val="00327163"/>
    <w:rsid w:val="00327305"/>
    <w:rsid w:val="00327531"/>
    <w:rsid w:val="0033008F"/>
    <w:rsid w:val="00330187"/>
    <w:rsid w:val="00330433"/>
    <w:rsid w:val="00331C77"/>
    <w:rsid w:val="00331DB6"/>
    <w:rsid w:val="00331F96"/>
    <w:rsid w:val="00332B55"/>
    <w:rsid w:val="003336B9"/>
    <w:rsid w:val="00333B31"/>
    <w:rsid w:val="0033476C"/>
    <w:rsid w:val="00335EA8"/>
    <w:rsid w:val="003363DD"/>
    <w:rsid w:val="0033669A"/>
    <w:rsid w:val="00337810"/>
    <w:rsid w:val="00340361"/>
    <w:rsid w:val="00340795"/>
    <w:rsid w:val="0034111C"/>
    <w:rsid w:val="00341E60"/>
    <w:rsid w:val="00341E87"/>
    <w:rsid w:val="0034217F"/>
    <w:rsid w:val="003428D2"/>
    <w:rsid w:val="00342AD2"/>
    <w:rsid w:val="00343954"/>
    <w:rsid w:val="0034427C"/>
    <w:rsid w:val="00345405"/>
    <w:rsid w:val="00345B27"/>
    <w:rsid w:val="00345DDD"/>
    <w:rsid w:val="0034689B"/>
    <w:rsid w:val="00346FED"/>
    <w:rsid w:val="00351E01"/>
    <w:rsid w:val="00352968"/>
    <w:rsid w:val="0035298B"/>
    <w:rsid w:val="00352D21"/>
    <w:rsid w:val="0035443D"/>
    <w:rsid w:val="00354861"/>
    <w:rsid w:val="00354FEE"/>
    <w:rsid w:val="0035544D"/>
    <w:rsid w:val="00356275"/>
    <w:rsid w:val="00356C0B"/>
    <w:rsid w:val="003578D2"/>
    <w:rsid w:val="00357B9C"/>
    <w:rsid w:val="00360C62"/>
    <w:rsid w:val="00361412"/>
    <w:rsid w:val="003615CA"/>
    <w:rsid w:val="00363B2C"/>
    <w:rsid w:val="003642A6"/>
    <w:rsid w:val="00364763"/>
    <w:rsid w:val="00364FFF"/>
    <w:rsid w:val="00365C3D"/>
    <w:rsid w:val="00367337"/>
    <w:rsid w:val="00367367"/>
    <w:rsid w:val="00367FD8"/>
    <w:rsid w:val="0037004E"/>
    <w:rsid w:val="00370B63"/>
    <w:rsid w:val="00370C08"/>
    <w:rsid w:val="00370FCC"/>
    <w:rsid w:val="003711AF"/>
    <w:rsid w:val="0037239E"/>
    <w:rsid w:val="003735C6"/>
    <w:rsid w:val="00374848"/>
    <w:rsid w:val="003757A1"/>
    <w:rsid w:val="00375A94"/>
    <w:rsid w:val="00375D09"/>
    <w:rsid w:val="003762DC"/>
    <w:rsid w:val="0037739D"/>
    <w:rsid w:val="0037751C"/>
    <w:rsid w:val="00380B66"/>
    <w:rsid w:val="00380F3F"/>
    <w:rsid w:val="00381953"/>
    <w:rsid w:val="00382232"/>
    <w:rsid w:val="00382F1A"/>
    <w:rsid w:val="00383282"/>
    <w:rsid w:val="00383422"/>
    <w:rsid w:val="00383658"/>
    <w:rsid w:val="0038412E"/>
    <w:rsid w:val="003844F0"/>
    <w:rsid w:val="00386053"/>
    <w:rsid w:val="0038771D"/>
    <w:rsid w:val="003902C9"/>
    <w:rsid w:val="00390890"/>
    <w:rsid w:val="00390935"/>
    <w:rsid w:val="00392491"/>
    <w:rsid w:val="003935B0"/>
    <w:rsid w:val="00393E44"/>
    <w:rsid w:val="00394301"/>
    <w:rsid w:val="003961F0"/>
    <w:rsid w:val="0039747B"/>
    <w:rsid w:val="00397AB6"/>
    <w:rsid w:val="00397ACA"/>
    <w:rsid w:val="003A10C3"/>
    <w:rsid w:val="003A4A40"/>
    <w:rsid w:val="003A4C7C"/>
    <w:rsid w:val="003A5611"/>
    <w:rsid w:val="003A5844"/>
    <w:rsid w:val="003A597F"/>
    <w:rsid w:val="003A71A8"/>
    <w:rsid w:val="003A71D2"/>
    <w:rsid w:val="003A7846"/>
    <w:rsid w:val="003B00CA"/>
    <w:rsid w:val="003B030B"/>
    <w:rsid w:val="003B0432"/>
    <w:rsid w:val="003B0821"/>
    <w:rsid w:val="003B0BE9"/>
    <w:rsid w:val="003B0F4B"/>
    <w:rsid w:val="003B1564"/>
    <w:rsid w:val="003B2D5D"/>
    <w:rsid w:val="003B2E9B"/>
    <w:rsid w:val="003B2F8D"/>
    <w:rsid w:val="003B3C64"/>
    <w:rsid w:val="003B3D3E"/>
    <w:rsid w:val="003B4405"/>
    <w:rsid w:val="003B4FAA"/>
    <w:rsid w:val="003B547A"/>
    <w:rsid w:val="003B6EC0"/>
    <w:rsid w:val="003B75B9"/>
    <w:rsid w:val="003C087B"/>
    <w:rsid w:val="003C0DA2"/>
    <w:rsid w:val="003C1A18"/>
    <w:rsid w:val="003C5C41"/>
    <w:rsid w:val="003C6877"/>
    <w:rsid w:val="003C7062"/>
    <w:rsid w:val="003C7461"/>
    <w:rsid w:val="003D0788"/>
    <w:rsid w:val="003D0DE8"/>
    <w:rsid w:val="003D132A"/>
    <w:rsid w:val="003D1517"/>
    <w:rsid w:val="003D1D50"/>
    <w:rsid w:val="003D1DF6"/>
    <w:rsid w:val="003D232D"/>
    <w:rsid w:val="003D2938"/>
    <w:rsid w:val="003D3FBA"/>
    <w:rsid w:val="003D402B"/>
    <w:rsid w:val="003D54B0"/>
    <w:rsid w:val="003D764F"/>
    <w:rsid w:val="003E0042"/>
    <w:rsid w:val="003E0667"/>
    <w:rsid w:val="003E0BCE"/>
    <w:rsid w:val="003E13E0"/>
    <w:rsid w:val="003E1660"/>
    <w:rsid w:val="003E17CD"/>
    <w:rsid w:val="003E1CD1"/>
    <w:rsid w:val="003E1F3A"/>
    <w:rsid w:val="003E2A2D"/>
    <w:rsid w:val="003E2F89"/>
    <w:rsid w:val="003E47D4"/>
    <w:rsid w:val="003E50B9"/>
    <w:rsid w:val="003E64A9"/>
    <w:rsid w:val="003E7905"/>
    <w:rsid w:val="003F0336"/>
    <w:rsid w:val="003F5547"/>
    <w:rsid w:val="003F5C40"/>
    <w:rsid w:val="003F6AB6"/>
    <w:rsid w:val="003F6CC5"/>
    <w:rsid w:val="003F6E12"/>
    <w:rsid w:val="003F6F8B"/>
    <w:rsid w:val="003F75ED"/>
    <w:rsid w:val="004002B7"/>
    <w:rsid w:val="00400F31"/>
    <w:rsid w:val="004023BA"/>
    <w:rsid w:val="0040302D"/>
    <w:rsid w:val="00406B4D"/>
    <w:rsid w:val="004073D6"/>
    <w:rsid w:val="0041184F"/>
    <w:rsid w:val="0041443C"/>
    <w:rsid w:val="0041488F"/>
    <w:rsid w:val="004154F7"/>
    <w:rsid w:val="004155F9"/>
    <w:rsid w:val="00416D44"/>
    <w:rsid w:val="004176FF"/>
    <w:rsid w:val="00421A27"/>
    <w:rsid w:val="00421D0A"/>
    <w:rsid w:val="004226C3"/>
    <w:rsid w:val="00423AB6"/>
    <w:rsid w:val="004241C5"/>
    <w:rsid w:val="00424FA7"/>
    <w:rsid w:val="00425D2C"/>
    <w:rsid w:val="00426A87"/>
    <w:rsid w:val="004309D8"/>
    <w:rsid w:val="004313D1"/>
    <w:rsid w:val="00431485"/>
    <w:rsid w:val="00432110"/>
    <w:rsid w:val="004328EE"/>
    <w:rsid w:val="0043374E"/>
    <w:rsid w:val="00433EBE"/>
    <w:rsid w:val="00434406"/>
    <w:rsid w:val="00437C3A"/>
    <w:rsid w:val="00440FED"/>
    <w:rsid w:val="00441B92"/>
    <w:rsid w:val="00443A9F"/>
    <w:rsid w:val="0044474B"/>
    <w:rsid w:val="00445FF7"/>
    <w:rsid w:val="004508A8"/>
    <w:rsid w:val="00453341"/>
    <w:rsid w:val="004545C6"/>
    <w:rsid w:val="00454DCA"/>
    <w:rsid w:val="00454E26"/>
    <w:rsid w:val="00456544"/>
    <w:rsid w:val="00456649"/>
    <w:rsid w:val="004567B7"/>
    <w:rsid w:val="00456856"/>
    <w:rsid w:val="00457E06"/>
    <w:rsid w:val="0046047A"/>
    <w:rsid w:val="00461210"/>
    <w:rsid w:val="00461700"/>
    <w:rsid w:val="00461AAC"/>
    <w:rsid w:val="00461DA2"/>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779E5"/>
    <w:rsid w:val="0048076D"/>
    <w:rsid w:val="00481624"/>
    <w:rsid w:val="00481765"/>
    <w:rsid w:val="00481D90"/>
    <w:rsid w:val="00482603"/>
    <w:rsid w:val="00482700"/>
    <w:rsid w:val="00482CD4"/>
    <w:rsid w:val="00483261"/>
    <w:rsid w:val="0048328A"/>
    <w:rsid w:val="0048583E"/>
    <w:rsid w:val="00485B23"/>
    <w:rsid w:val="004874E4"/>
    <w:rsid w:val="00487CC1"/>
    <w:rsid w:val="0049070D"/>
    <w:rsid w:val="00490A39"/>
    <w:rsid w:val="00490E82"/>
    <w:rsid w:val="00491BE4"/>
    <w:rsid w:val="00491DB2"/>
    <w:rsid w:val="00492877"/>
    <w:rsid w:val="00495BA6"/>
    <w:rsid w:val="0049611C"/>
    <w:rsid w:val="00496DC2"/>
    <w:rsid w:val="00496E75"/>
    <w:rsid w:val="004A014C"/>
    <w:rsid w:val="004A0AA8"/>
    <w:rsid w:val="004A1FE4"/>
    <w:rsid w:val="004A2CA9"/>
    <w:rsid w:val="004A33EF"/>
    <w:rsid w:val="004A34C9"/>
    <w:rsid w:val="004A3CB5"/>
    <w:rsid w:val="004A4D91"/>
    <w:rsid w:val="004A537D"/>
    <w:rsid w:val="004A67F0"/>
    <w:rsid w:val="004A71C3"/>
    <w:rsid w:val="004A7769"/>
    <w:rsid w:val="004B23AD"/>
    <w:rsid w:val="004B2965"/>
    <w:rsid w:val="004B3265"/>
    <w:rsid w:val="004B40A3"/>
    <w:rsid w:val="004B4224"/>
    <w:rsid w:val="004B4297"/>
    <w:rsid w:val="004B4647"/>
    <w:rsid w:val="004B6B25"/>
    <w:rsid w:val="004B7455"/>
    <w:rsid w:val="004B74FF"/>
    <w:rsid w:val="004B7CE4"/>
    <w:rsid w:val="004C0401"/>
    <w:rsid w:val="004C0C49"/>
    <w:rsid w:val="004C1096"/>
    <w:rsid w:val="004C183D"/>
    <w:rsid w:val="004C3EC7"/>
    <w:rsid w:val="004C3EEE"/>
    <w:rsid w:val="004C483D"/>
    <w:rsid w:val="004C4D15"/>
    <w:rsid w:val="004C61B0"/>
    <w:rsid w:val="004C6DA5"/>
    <w:rsid w:val="004C7277"/>
    <w:rsid w:val="004C795A"/>
    <w:rsid w:val="004C7B14"/>
    <w:rsid w:val="004C7F93"/>
    <w:rsid w:val="004D2629"/>
    <w:rsid w:val="004D26B8"/>
    <w:rsid w:val="004D2C2C"/>
    <w:rsid w:val="004D38C2"/>
    <w:rsid w:val="004D41DC"/>
    <w:rsid w:val="004D4A85"/>
    <w:rsid w:val="004D4FBD"/>
    <w:rsid w:val="004D4FC0"/>
    <w:rsid w:val="004D6381"/>
    <w:rsid w:val="004D7DA8"/>
    <w:rsid w:val="004E10CD"/>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873"/>
    <w:rsid w:val="004F6D99"/>
    <w:rsid w:val="004F6F4B"/>
    <w:rsid w:val="00500572"/>
    <w:rsid w:val="00500701"/>
    <w:rsid w:val="00501304"/>
    <w:rsid w:val="00501425"/>
    <w:rsid w:val="0050318B"/>
    <w:rsid w:val="00503356"/>
    <w:rsid w:val="00503CF2"/>
    <w:rsid w:val="00504311"/>
    <w:rsid w:val="0050485C"/>
    <w:rsid w:val="00504AC6"/>
    <w:rsid w:val="00504D75"/>
    <w:rsid w:val="00505D51"/>
    <w:rsid w:val="00505F55"/>
    <w:rsid w:val="0050639A"/>
    <w:rsid w:val="00507362"/>
    <w:rsid w:val="00510ABC"/>
    <w:rsid w:val="00511079"/>
    <w:rsid w:val="00511411"/>
    <w:rsid w:val="00511CDF"/>
    <w:rsid w:val="00512829"/>
    <w:rsid w:val="00513839"/>
    <w:rsid w:val="00513DEF"/>
    <w:rsid w:val="0051423C"/>
    <w:rsid w:val="005148D4"/>
    <w:rsid w:val="00514C91"/>
    <w:rsid w:val="005153CE"/>
    <w:rsid w:val="005160E3"/>
    <w:rsid w:val="00516241"/>
    <w:rsid w:val="00516FD9"/>
    <w:rsid w:val="0051791D"/>
    <w:rsid w:val="00520D6D"/>
    <w:rsid w:val="005212FD"/>
    <w:rsid w:val="00521425"/>
    <w:rsid w:val="00521E23"/>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4F22"/>
    <w:rsid w:val="00536698"/>
    <w:rsid w:val="005375FE"/>
    <w:rsid w:val="00540BFC"/>
    <w:rsid w:val="0054195A"/>
    <w:rsid w:val="005420DE"/>
    <w:rsid w:val="00542249"/>
    <w:rsid w:val="005431F5"/>
    <w:rsid w:val="00543707"/>
    <w:rsid w:val="005439D2"/>
    <w:rsid w:val="00543BD6"/>
    <w:rsid w:val="00543EBB"/>
    <w:rsid w:val="00544213"/>
    <w:rsid w:val="005453F3"/>
    <w:rsid w:val="00545549"/>
    <w:rsid w:val="005469F5"/>
    <w:rsid w:val="00546F36"/>
    <w:rsid w:val="005518ED"/>
    <w:rsid w:val="00552093"/>
    <w:rsid w:val="00552FFC"/>
    <w:rsid w:val="00554C49"/>
    <w:rsid w:val="00554E06"/>
    <w:rsid w:val="00554E4B"/>
    <w:rsid w:val="0055519C"/>
    <w:rsid w:val="00555F67"/>
    <w:rsid w:val="00556E32"/>
    <w:rsid w:val="005604F1"/>
    <w:rsid w:val="005606A4"/>
    <w:rsid w:val="005607B8"/>
    <w:rsid w:val="00560ADE"/>
    <w:rsid w:val="00560CF5"/>
    <w:rsid w:val="005612FB"/>
    <w:rsid w:val="0056272D"/>
    <w:rsid w:val="00562BAB"/>
    <w:rsid w:val="0056308E"/>
    <w:rsid w:val="005638C1"/>
    <w:rsid w:val="00563E5B"/>
    <w:rsid w:val="00563F16"/>
    <w:rsid w:val="0056415C"/>
    <w:rsid w:val="005649BF"/>
    <w:rsid w:val="005650ED"/>
    <w:rsid w:val="00565869"/>
    <w:rsid w:val="00567415"/>
    <w:rsid w:val="00567610"/>
    <w:rsid w:val="00570D9F"/>
    <w:rsid w:val="0057185C"/>
    <w:rsid w:val="00571CA8"/>
    <w:rsid w:val="00572947"/>
    <w:rsid w:val="005734A7"/>
    <w:rsid w:val="00573853"/>
    <w:rsid w:val="00573EE5"/>
    <w:rsid w:val="00574B50"/>
    <w:rsid w:val="00577835"/>
    <w:rsid w:val="00580793"/>
    <w:rsid w:val="00581470"/>
    <w:rsid w:val="00581B62"/>
    <w:rsid w:val="00581BAD"/>
    <w:rsid w:val="00582087"/>
    <w:rsid w:val="00582F21"/>
    <w:rsid w:val="005831DD"/>
    <w:rsid w:val="00584320"/>
    <w:rsid w:val="00585484"/>
    <w:rsid w:val="00585C3B"/>
    <w:rsid w:val="00587229"/>
    <w:rsid w:val="00587503"/>
    <w:rsid w:val="00587F7F"/>
    <w:rsid w:val="00590E8D"/>
    <w:rsid w:val="00591511"/>
    <w:rsid w:val="00592788"/>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D49"/>
    <w:rsid w:val="005B08D3"/>
    <w:rsid w:val="005B1AB8"/>
    <w:rsid w:val="005B3C6D"/>
    <w:rsid w:val="005B4045"/>
    <w:rsid w:val="005B609E"/>
    <w:rsid w:val="005B6DF6"/>
    <w:rsid w:val="005B7B7D"/>
    <w:rsid w:val="005C1948"/>
    <w:rsid w:val="005C22F9"/>
    <w:rsid w:val="005C263C"/>
    <w:rsid w:val="005C2679"/>
    <w:rsid w:val="005C2785"/>
    <w:rsid w:val="005C298C"/>
    <w:rsid w:val="005C3317"/>
    <w:rsid w:val="005C5870"/>
    <w:rsid w:val="005C64E2"/>
    <w:rsid w:val="005D059A"/>
    <w:rsid w:val="005D07C5"/>
    <w:rsid w:val="005D101E"/>
    <w:rsid w:val="005D1B4D"/>
    <w:rsid w:val="005D1B7F"/>
    <w:rsid w:val="005D21B7"/>
    <w:rsid w:val="005D320D"/>
    <w:rsid w:val="005D4302"/>
    <w:rsid w:val="005D5A20"/>
    <w:rsid w:val="005D630B"/>
    <w:rsid w:val="005D786C"/>
    <w:rsid w:val="005E00E5"/>
    <w:rsid w:val="005E0148"/>
    <w:rsid w:val="005E049F"/>
    <w:rsid w:val="005E0BB6"/>
    <w:rsid w:val="005E3073"/>
    <w:rsid w:val="005E316A"/>
    <w:rsid w:val="005E3AF1"/>
    <w:rsid w:val="005E6A63"/>
    <w:rsid w:val="005E7088"/>
    <w:rsid w:val="005E7E1B"/>
    <w:rsid w:val="005F0108"/>
    <w:rsid w:val="005F0ECC"/>
    <w:rsid w:val="005F21A5"/>
    <w:rsid w:val="005F2470"/>
    <w:rsid w:val="005F26D5"/>
    <w:rsid w:val="005F28C6"/>
    <w:rsid w:val="005F3F16"/>
    <w:rsid w:val="005F4295"/>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A5F"/>
    <w:rsid w:val="00604DE1"/>
    <w:rsid w:val="006059A6"/>
    <w:rsid w:val="006060C2"/>
    <w:rsid w:val="00606A26"/>
    <w:rsid w:val="00607D81"/>
    <w:rsid w:val="00610747"/>
    <w:rsid w:val="00610E03"/>
    <w:rsid w:val="0061176E"/>
    <w:rsid w:val="00614CD1"/>
    <w:rsid w:val="006151F2"/>
    <w:rsid w:val="0061567B"/>
    <w:rsid w:val="00615AC8"/>
    <w:rsid w:val="00616A45"/>
    <w:rsid w:val="006211CC"/>
    <w:rsid w:val="0062152A"/>
    <w:rsid w:val="006219D6"/>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07BF"/>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6F4"/>
    <w:rsid w:val="006508B9"/>
    <w:rsid w:val="00650CA1"/>
    <w:rsid w:val="0065143C"/>
    <w:rsid w:val="00651854"/>
    <w:rsid w:val="00651967"/>
    <w:rsid w:val="00652578"/>
    <w:rsid w:val="006539E8"/>
    <w:rsid w:val="00654CBC"/>
    <w:rsid w:val="00655AB5"/>
    <w:rsid w:val="006565D8"/>
    <w:rsid w:val="00656B96"/>
    <w:rsid w:val="00656F79"/>
    <w:rsid w:val="0065736B"/>
    <w:rsid w:val="006578E4"/>
    <w:rsid w:val="00657AE5"/>
    <w:rsid w:val="006616ED"/>
    <w:rsid w:val="006619B0"/>
    <w:rsid w:val="00662012"/>
    <w:rsid w:val="00662543"/>
    <w:rsid w:val="006626D0"/>
    <w:rsid w:val="006628E9"/>
    <w:rsid w:val="00664066"/>
    <w:rsid w:val="006641F4"/>
    <w:rsid w:val="00664E8C"/>
    <w:rsid w:val="00665F7C"/>
    <w:rsid w:val="00666460"/>
    <w:rsid w:val="0066672F"/>
    <w:rsid w:val="0066699A"/>
    <w:rsid w:val="00666DFC"/>
    <w:rsid w:val="00666EBB"/>
    <w:rsid w:val="0066779E"/>
    <w:rsid w:val="00667FAF"/>
    <w:rsid w:val="0067096D"/>
    <w:rsid w:val="00670AF4"/>
    <w:rsid w:val="006719E0"/>
    <w:rsid w:val="006724C2"/>
    <w:rsid w:val="0067258D"/>
    <w:rsid w:val="0067269D"/>
    <w:rsid w:val="00672988"/>
    <w:rsid w:val="00672C64"/>
    <w:rsid w:val="00674E6A"/>
    <w:rsid w:val="00675CF4"/>
    <w:rsid w:val="00676A64"/>
    <w:rsid w:val="00677925"/>
    <w:rsid w:val="00680F46"/>
    <w:rsid w:val="0068135E"/>
    <w:rsid w:val="00681FDC"/>
    <w:rsid w:val="00682542"/>
    <w:rsid w:val="00682B53"/>
    <w:rsid w:val="00682F27"/>
    <w:rsid w:val="006859DB"/>
    <w:rsid w:val="0068678D"/>
    <w:rsid w:val="00687488"/>
    <w:rsid w:val="006904ED"/>
    <w:rsid w:val="00690E2E"/>
    <w:rsid w:val="006915D7"/>
    <w:rsid w:val="00692814"/>
    <w:rsid w:val="006932E7"/>
    <w:rsid w:val="00693347"/>
    <w:rsid w:val="0069334C"/>
    <w:rsid w:val="006969FD"/>
    <w:rsid w:val="00696D63"/>
    <w:rsid w:val="006A032F"/>
    <w:rsid w:val="006A146E"/>
    <w:rsid w:val="006A1BEB"/>
    <w:rsid w:val="006A41AE"/>
    <w:rsid w:val="006A4856"/>
    <w:rsid w:val="006A4B51"/>
    <w:rsid w:val="006A5474"/>
    <w:rsid w:val="006A564B"/>
    <w:rsid w:val="006B05B5"/>
    <w:rsid w:val="006B1545"/>
    <w:rsid w:val="006B23B9"/>
    <w:rsid w:val="006B2DA7"/>
    <w:rsid w:val="006B2F4D"/>
    <w:rsid w:val="006B3682"/>
    <w:rsid w:val="006B3974"/>
    <w:rsid w:val="006B48CB"/>
    <w:rsid w:val="006B564D"/>
    <w:rsid w:val="006B5C3E"/>
    <w:rsid w:val="006C1445"/>
    <w:rsid w:val="006C3AB0"/>
    <w:rsid w:val="006C4BA8"/>
    <w:rsid w:val="006C4FC1"/>
    <w:rsid w:val="006C51A5"/>
    <w:rsid w:val="006C529D"/>
    <w:rsid w:val="006C6449"/>
    <w:rsid w:val="006C6798"/>
    <w:rsid w:val="006C6DF7"/>
    <w:rsid w:val="006D0C12"/>
    <w:rsid w:val="006D0E6B"/>
    <w:rsid w:val="006D2146"/>
    <w:rsid w:val="006D4B93"/>
    <w:rsid w:val="006D632E"/>
    <w:rsid w:val="006D70F4"/>
    <w:rsid w:val="006E094A"/>
    <w:rsid w:val="006E12B1"/>
    <w:rsid w:val="006E13D1"/>
    <w:rsid w:val="006E4D0C"/>
    <w:rsid w:val="006E4D1B"/>
    <w:rsid w:val="006E5B78"/>
    <w:rsid w:val="006E5F2F"/>
    <w:rsid w:val="006E63D2"/>
    <w:rsid w:val="006E699D"/>
    <w:rsid w:val="006E6B3A"/>
    <w:rsid w:val="006E6BA3"/>
    <w:rsid w:val="006F06C9"/>
    <w:rsid w:val="006F1116"/>
    <w:rsid w:val="006F2654"/>
    <w:rsid w:val="006F3196"/>
    <w:rsid w:val="006F32C4"/>
    <w:rsid w:val="006F3C54"/>
    <w:rsid w:val="006F418C"/>
    <w:rsid w:val="006F5E64"/>
    <w:rsid w:val="006F60DE"/>
    <w:rsid w:val="006F65FB"/>
    <w:rsid w:val="006F7914"/>
    <w:rsid w:val="006F7C0B"/>
    <w:rsid w:val="006F7E46"/>
    <w:rsid w:val="00700AB4"/>
    <w:rsid w:val="00700FCA"/>
    <w:rsid w:val="007015C6"/>
    <w:rsid w:val="00701645"/>
    <w:rsid w:val="007017CE"/>
    <w:rsid w:val="00701BBC"/>
    <w:rsid w:val="00702D5A"/>
    <w:rsid w:val="00702EF7"/>
    <w:rsid w:val="00703571"/>
    <w:rsid w:val="00703989"/>
    <w:rsid w:val="007042E9"/>
    <w:rsid w:val="00704495"/>
    <w:rsid w:val="007054D2"/>
    <w:rsid w:val="0071118B"/>
    <w:rsid w:val="00711C66"/>
    <w:rsid w:val="00711E13"/>
    <w:rsid w:val="00712EDA"/>
    <w:rsid w:val="007136D0"/>
    <w:rsid w:val="00713B71"/>
    <w:rsid w:val="007155A9"/>
    <w:rsid w:val="007158E1"/>
    <w:rsid w:val="00715ECD"/>
    <w:rsid w:val="00716AA6"/>
    <w:rsid w:val="0071705B"/>
    <w:rsid w:val="00717DA7"/>
    <w:rsid w:val="00720505"/>
    <w:rsid w:val="007236A3"/>
    <w:rsid w:val="007239B6"/>
    <w:rsid w:val="0072490A"/>
    <w:rsid w:val="00724B64"/>
    <w:rsid w:val="0072517D"/>
    <w:rsid w:val="00726878"/>
    <w:rsid w:val="0073084B"/>
    <w:rsid w:val="0073124A"/>
    <w:rsid w:val="00731412"/>
    <w:rsid w:val="00731B79"/>
    <w:rsid w:val="007320A2"/>
    <w:rsid w:val="00733893"/>
    <w:rsid w:val="00734A05"/>
    <w:rsid w:val="00735C6F"/>
    <w:rsid w:val="00741EBF"/>
    <w:rsid w:val="00742A6A"/>
    <w:rsid w:val="00742B44"/>
    <w:rsid w:val="007449F8"/>
    <w:rsid w:val="007472D5"/>
    <w:rsid w:val="00753374"/>
    <w:rsid w:val="00753BB5"/>
    <w:rsid w:val="00755E4A"/>
    <w:rsid w:val="00756832"/>
    <w:rsid w:val="007625CC"/>
    <w:rsid w:val="007626D0"/>
    <w:rsid w:val="00762D64"/>
    <w:rsid w:val="00763A29"/>
    <w:rsid w:val="007651CA"/>
    <w:rsid w:val="00767519"/>
    <w:rsid w:val="007704E1"/>
    <w:rsid w:val="00770E5C"/>
    <w:rsid w:val="00772569"/>
    <w:rsid w:val="00772839"/>
    <w:rsid w:val="00772E8C"/>
    <w:rsid w:val="007736D3"/>
    <w:rsid w:val="0077500F"/>
    <w:rsid w:val="0077548E"/>
    <w:rsid w:val="00776085"/>
    <w:rsid w:val="0077630D"/>
    <w:rsid w:val="00777315"/>
    <w:rsid w:val="007802E4"/>
    <w:rsid w:val="00780919"/>
    <w:rsid w:val="00781589"/>
    <w:rsid w:val="007826C8"/>
    <w:rsid w:val="00784190"/>
    <w:rsid w:val="0078457B"/>
    <w:rsid w:val="00784756"/>
    <w:rsid w:val="0078539D"/>
    <w:rsid w:val="0078550F"/>
    <w:rsid w:val="007856C1"/>
    <w:rsid w:val="00785B0F"/>
    <w:rsid w:val="00787051"/>
    <w:rsid w:val="00787909"/>
    <w:rsid w:val="0079018D"/>
    <w:rsid w:val="007901DC"/>
    <w:rsid w:val="00791A00"/>
    <w:rsid w:val="00791DDB"/>
    <w:rsid w:val="00792CEE"/>
    <w:rsid w:val="007936A8"/>
    <w:rsid w:val="007962B4"/>
    <w:rsid w:val="00796F15"/>
    <w:rsid w:val="007A138F"/>
    <w:rsid w:val="007A1640"/>
    <w:rsid w:val="007A1AE4"/>
    <w:rsid w:val="007A39DF"/>
    <w:rsid w:val="007A43ED"/>
    <w:rsid w:val="007A4BDD"/>
    <w:rsid w:val="007A6CFD"/>
    <w:rsid w:val="007A72EE"/>
    <w:rsid w:val="007B0397"/>
    <w:rsid w:val="007B0ADB"/>
    <w:rsid w:val="007B1593"/>
    <w:rsid w:val="007B26EE"/>
    <w:rsid w:val="007B2EF7"/>
    <w:rsid w:val="007B3502"/>
    <w:rsid w:val="007B3E6D"/>
    <w:rsid w:val="007B44ED"/>
    <w:rsid w:val="007B491A"/>
    <w:rsid w:val="007B5370"/>
    <w:rsid w:val="007B5B3F"/>
    <w:rsid w:val="007B61F5"/>
    <w:rsid w:val="007B63FA"/>
    <w:rsid w:val="007B7496"/>
    <w:rsid w:val="007C0385"/>
    <w:rsid w:val="007C0802"/>
    <w:rsid w:val="007C12BE"/>
    <w:rsid w:val="007C2739"/>
    <w:rsid w:val="007C453F"/>
    <w:rsid w:val="007C4B0F"/>
    <w:rsid w:val="007C4DAD"/>
    <w:rsid w:val="007C5830"/>
    <w:rsid w:val="007C5DB8"/>
    <w:rsid w:val="007C5DCE"/>
    <w:rsid w:val="007C6CA2"/>
    <w:rsid w:val="007C7416"/>
    <w:rsid w:val="007D05B2"/>
    <w:rsid w:val="007D0C44"/>
    <w:rsid w:val="007D1972"/>
    <w:rsid w:val="007D1CA6"/>
    <w:rsid w:val="007D1F33"/>
    <w:rsid w:val="007D23D2"/>
    <w:rsid w:val="007D3307"/>
    <w:rsid w:val="007D5E27"/>
    <w:rsid w:val="007D6F64"/>
    <w:rsid w:val="007E1782"/>
    <w:rsid w:val="007E25AB"/>
    <w:rsid w:val="007E2F41"/>
    <w:rsid w:val="007E44FC"/>
    <w:rsid w:val="007E5AC2"/>
    <w:rsid w:val="007E79C5"/>
    <w:rsid w:val="007F070E"/>
    <w:rsid w:val="007F15F6"/>
    <w:rsid w:val="007F2845"/>
    <w:rsid w:val="007F36DC"/>
    <w:rsid w:val="007F38A2"/>
    <w:rsid w:val="007F3F07"/>
    <w:rsid w:val="007F43BC"/>
    <w:rsid w:val="007F4740"/>
    <w:rsid w:val="008006C6"/>
    <w:rsid w:val="00800C52"/>
    <w:rsid w:val="0080153E"/>
    <w:rsid w:val="008018C8"/>
    <w:rsid w:val="0080263A"/>
    <w:rsid w:val="0080329D"/>
    <w:rsid w:val="00803A03"/>
    <w:rsid w:val="008055A9"/>
    <w:rsid w:val="00806905"/>
    <w:rsid w:val="0080742D"/>
    <w:rsid w:val="0080780F"/>
    <w:rsid w:val="008100AC"/>
    <w:rsid w:val="00810C05"/>
    <w:rsid w:val="0081151E"/>
    <w:rsid w:val="0081221A"/>
    <w:rsid w:val="00812498"/>
    <w:rsid w:val="008127E6"/>
    <w:rsid w:val="00812D1B"/>
    <w:rsid w:val="0081336E"/>
    <w:rsid w:val="00813928"/>
    <w:rsid w:val="00814275"/>
    <w:rsid w:val="008154EC"/>
    <w:rsid w:val="00820DC7"/>
    <w:rsid w:val="00820FFB"/>
    <w:rsid w:val="00821698"/>
    <w:rsid w:val="008221FE"/>
    <w:rsid w:val="0082293B"/>
    <w:rsid w:val="00822BF5"/>
    <w:rsid w:val="00824634"/>
    <w:rsid w:val="00824894"/>
    <w:rsid w:val="00825366"/>
    <w:rsid w:val="0082539B"/>
    <w:rsid w:val="00825E84"/>
    <w:rsid w:val="00826C7B"/>
    <w:rsid w:val="00826DD9"/>
    <w:rsid w:val="00826E01"/>
    <w:rsid w:val="008277A8"/>
    <w:rsid w:val="008278B6"/>
    <w:rsid w:val="008307ED"/>
    <w:rsid w:val="00830B3B"/>
    <w:rsid w:val="008327A9"/>
    <w:rsid w:val="0083350F"/>
    <w:rsid w:val="00834052"/>
    <w:rsid w:val="00834358"/>
    <w:rsid w:val="008346BD"/>
    <w:rsid w:val="00834923"/>
    <w:rsid w:val="008359EB"/>
    <w:rsid w:val="00836B7A"/>
    <w:rsid w:val="00837B90"/>
    <w:rsid w:val="008401C8"/>
    <w:rsid w:val="008409AA"/>
    <w:rsid w:val="00840FB8"/>
    <w:rsid w:val="00841908"/>
    <w:rsid w:val="00843A7A"/>
    <w:rsid w:val="008447F5"/>
    <w:rsid w:val="00846292"/>
    <w:rsid w:val="008506E1"/>
    <w:rsid w:val="008515EE"/>
    <w:rsid w:val="00851A8E"/>
    <w:rsid w:val="008525C2"/>
    <w:rsid w:val="008528D3"/>
    <w:rsid w:val="00854553"/>
    <w:rsid w:val="00855A15"/>
    <w:rsid w:val="00855B86"/>
    <w:rsid w:val="00860874"/>
    <w:rsid w:val="008609A3"/>
    <w:rsid w:val="00862008"/>
    <w:rsid w:val="00862720"/>
    <w:rsid w:val="008628C8"/>
    <w:rsid w:val="00862B2A"/>
    <w:rsid w:val="008630B9"/>
    <w:rsid w:val="00863EE4"/>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78A"/>
    <w:rsid w:val="00884B59"/>
    <w:rsid w:val="008850BA"/>
    <w:rsid w:val="00885876"/>
    <w:rsid w:val="008858BD"/>
    <w:rsid w:val="00886185"/>
    <w:rsid w:val="008861D9"/>
    <w:rsid w:val="0088638C"/>
    <w:rsid w:val="00886EDF"/>
    <w:rsid w:val="00887278"/>
    <w:rsid w:val="0089036C"/>
    <w:rsid w:val="008908E5"/>
    <w:rsid w:val="00891216"/>
    <w:rsid w:val="00892455"/>
    <w:rsid w:val="00892F02"/>
    <w:rsid w:val="00893D22"/>
    <w:rsid w:val="00894B58"/>
    <w:rsid w:val="00894FDC"/>
    <w:rsid w:val="008957D3"/>
    <w:rsid w:val="00896414"/>
    <w:rsid w:val="008967AB"/>
    <w:rsid w:val="0089716F"/>
    <w:rsid w:val="00897C71"/>
    <w:rsid w:val="008A0F54"/>
    <w:rsid w:val="008A16F9"/>
    <w:rsid w:val="008A1D3E"/>
    <w:rsid w:val="008A2C70"/>
    <w:rsid w:val="008A2FDE"/>
    <w:rsid w:val="008A4B16"/>
    <w:rsid w:val="008A4D63"/>
    <w:rsid w:val="008A4E11"/>
    <w:rsid w:val="008A6D62"/>
    <w:rsid w:val="008B13E9"/>
    <w:rsid w:val="008B2257"/>
    <w:rsid w:val="008B2436"/>
    <w:rsid w:val="008B2B4D"/>
    <w:rsid w:val="008B3B51"/>
    <w:rsid w:val="008B4057"/>
    <w:rsid w:val="008B4145"/>
    <w:rsid w:val="008B5071"/>
    <w:rsid w:val="008B5290"/>
    <w:rsid w:val="008B6A40"/>
    <w:rsid w:val="008B6C8E"/>
    <w:rsid w:val="008B704D"/>
    <w:rsid w:val="008B72EC"/>
    <w:rsid w:val="008B74DB"/>
    <w:rsid w:val="008C072F"/>
    <w:rsid w:val="008C1F0F"/>
    <w:rsid w:val="008C261C"/>
    <w:rsid w:val="008C2CFD"/>
    <w:rsid w:val="008C3FDC"/>
    <w:rsid w:val="008C47AD"/>
    <w:rsid w:val="008C603A"/>
    <w:rsid w:val="008C71C8"/>
    <w:rsid w:val="008D167D"/>
    <w:rsid w:val="008D32F6"/>
    <w:rsid w:val="008D3A8C"/>
    <w:rsid w:val="008D492A"/>
    <w:rsid w:val="008D4B58"/>
    <w:rsid w:val="008D4B7F"/>
    <w:rsid w:val="008D4B8A"/>
    <w:rsid w:val="008D4D68"/>
    <w:rsid w:val="008D6541"/>
    <w:rsid w:val="008D7D7B"/>
    <w:rsid w:val="008E0F52"/>
    <w:rsid w:val="008E2316"/>
    <w:rsid w:val="008E3063"/>
    <w:rsid w:val="008E34BE"/>
    <w:rsid w:val="008E3AA8"/>
    <w:rsid w:val="008E42CE"/>
    <w:rsid w:val="008E42F4"/>
    <w:rsid w:val="008E4333"/>
    <w:rsid w:val="008E4A31"/>
    <w:rsid w:val="008E5657"/>
    <w:rsid w:val="008E5E51"/>
    <w:rsid w:val="008E7EEA"/>
    <w:rsid w:val="008F00DB"/>
    <w:rsid w:val="008F1264"/>
    <w:rsid w:val="008F2908"/>
    <w:rsid w:val="008F47C6"/>
    <w:rsid w:val="008F592B"/>
    <w:rsid w:val="008F6355"/>
    <w:rsid w:val="008F6647"/>
    <w:rsid w:val="008F700E"/>
    <w:rsid w:val="008F7D89"/>
    <w:rsid w:val="009006A2"/>
    <w:rsid w:val="0090102B"/>
    <w:rsid w:val="00901448"/>
    <w:rsid w:val="009036BC"/>
    <w:rsid w:val="00903D30"/>
    <w:rsid w:val="00904414"/>
    <w:rsid w:val="00904595"/>
    <w:rsid w:val="00905197"/>
    <w:rsid w:val="00905C47"/>
    <w:rsid w:val="00906379"/>
    <w:rsid w:val="00906A8C"/>
    <w:rsid w:val="009101EA"/>
    <w:rsid w:val="009106FC"/>
    <w:rsid w:val="009118BB"/>
    <w:rsid w:val="0091191F"/>
    <w:rsid w:val="00911E7D"/>
    <w:rsid w:val="009120A9"/>
    <w:rsid w:val="0091286A"/>
    <w:rsid w:val="009134C3"/>
    <w:rsid w:val="00915B81"/>
    <w:rsid w:val="00915D6B"/>
    <w:rsid w:val="009160DF"/>
    <w:rsid w:val="009162C7"/>
    <w:rsid w:val="00916B0B"/>
    <w:rsid w:val="00916EC2"/>
    <w:rsid w:val="009213BD"/>
    <w:rsid w:val="00921A6D"/>
    <w:rsid w:val="00921E69"/>
    <w:rsid w:val="009230A6"/>
    <w:rsid w:val="00924627"/>
    <w:rsid w:val="009250A8"/>
    <w:rsid w:val="00925BE6"/>
    <w:rsid w:val="00926697"/>
    <w:rsid w:val="00926F61"/>
    <w:rsid w:val="00926FA9"/>
    <w:rsid w:val="0093123D"/>
    <w:rsid w:val="00933040"/>
    <w:rsid w:val="009330E9"/>
    <w:rsid w:val="00934D97"/>
    <w:rsid w:val="00935D15"/>
    <w:rsid w:val="00940832"/>
    <w:rsid w:val="009411FB"/>
    <w:rsid w:val="009414A9"/>
    <w:rsid w:val="00941B71"/>
    <w:rsid w:val="00941DF9"/>
    <w:rsid w:val="009421AD"/>
    <w:rsid w:val="0094221C"/>
    <w:rsid w:val="00942280"/>
    <w:rsid w:val="0094409C"/>
    <w:rsid w:val="00944159"/>
    <w:rsid w:val="009444FE"/>
    <w:rsid w:val="009449B2"/>
    <w:rsid w:val="00944A82"/>
    <w:rsid w:val="00944BA5"/>
    <w:rsid w:val="00946C4D"/>
    <w:rsid w:val="0095019A"/>
    <w:rsid w:val="00950CB3"/>
    <w:rsid w:val="0095285B"/>
    <w:rsid w:val="00953FE9"/>
    <w:rsid w:val="00954417"/>
    <w:rsid w:val="0095481C"/>
    <w:rsid w:val="0095526F"/>
    <w:rsid w:val="009565BE"/>
    <w:rsid w:val="009567E6"/>
    <w:rsid w:val="00957076"/>
    <w:rsid w:val="00957132"/>
    <w:rsid w:val="009576FD"/>
    <w:rsid w:val="009578EB"/>
    <w:rsid w:val="009578FF"/>
    <w:rsid w:val="0096011C"/>
    <w:rsid w:val="00960446"/>
    <w:rsid w:val="00960CB3"/>
    <w:rsid w:val="009610ED"/>
    <w:rsid w:val="00961A02"/>
    <w:rsid w:val="00962D27"/>
    <w:rsid w:val="009633BB"/>
    <w:rsid w:val="00963A36"/>
    <w:rsid w:val="009643DA"/>
    <w:rsid w:val="0096485F"/>
    <w:rsid w:val="0096612A"/>
    <w:rsid w:val="00967354"/>
    <w:rsid w:val="00971592"/>
    <w:rsid w:val="00971DDF"/>
    <w:rsid w:val="0097225C"/>
    <w:rsid w:val="00972B43"/>
    <w:rsid w:val="009731D6"/>
    <w:rsid w:val="00974746"/>
    <w:rsid w:val="00975119"/>
    <w:rsid w:val="00975DDA"/>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262C"/>
    <w:rsid w:val="009938B1"/>
    <w:rsid w:val="00996258"/>
    <w:rsid w:val="00996306"/>
    <w:rsid w:val="00996744"/>
    <w:rsid w:val="00996DED"/>
    <w:rsid w:val="00997CF4"/>
    <w:rsid w:val="00997DA5"/>
    <w:rsid w:val="009A1169"/>
    <w:rsid w:val="009A164C"/>
    <w:rsid w:val="009A1AAC"/>
    <w:rsid w:val="009A2CB8"/>
    <w:rsid w:val="009A3789"/>
    <w:rsid w:val="009A40D9"/>
    <w:rsid w:val="009A45A2"/>
    <w:rsid w:val="009A5B3B"/>
    <w:rsid w:val="009A6919"/>
    <w:rsid w:val="009A6AC7"/>
    <w:rsid w:val="009B0408"/>
    <w:rsid w:val="009B0843"/>
    <w:rsid w:val="009B0DEE"/>
    <w:rsid w:val="009B0EF4"/>
    <w:rsid w:val="009B1335"/>
    <w:rsid w:val="009B1743"/>
    <w:rsid w:val="009B176D"/>
    <w:rsid w:val="009B1E47"/>
    <w:rsid w:val="009B2CED"/>
    <w:rsid w:val="009B3054"/>
    <w:rsid w:val="009B335D"/>
    <w:rsid w:val="009B3C90"/>
    <w:rsid w:val="009B4974"/>
    <w:rsid w:val="009B4D2A"/>
    <w:rsid w:val="009B7A72"/>
    <w:rsid w:val="009B7BB8"/>
    <w:rsid w:val="009B7BF9"/>
    <w:rsid w:val="009C046E"/>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D03A5"/>
    <w:rsid w:val="009D19BC"/>
    <w:rsid w:val="009D2348"/>
    <w:rsid w:val="009D2EA8"/>
    <w:rsid w:val="009D2F0C"/>
    <w:rsid w:val="009D3578"/>
    <w:rsid w:val="009D3A5F"/>
    <w:rsid w:val="009D48AC"/>
    <w:rsid w:val="009D5193"/>
    <w:rsid w:val="009D5C32"/>
    <w:rsid w:val="009D5C56"/>
    <w:rsid w:val="009D5E6D"/>
    <w:rsid w:val="009D6472"/>
    <w:rsid w:val="009D6A89"/>
    <w:rsid w:val="009D79F4"/>
    <w:rsid w:val="009E126D"/>
    <w:rsid w:val="009E21B6"/>
    <w:rsid w:val="009E33D7"/>
    <w:rsid w:val="009E3CD1"/>
    <w:rsid w:val="009E469E"/>
    <w:rsid w:val="009E47BD"/>
    <w:rsid w:val="009E5AF5"/>
    <w:rsid w:val="009E5EB5"/>
    <w:rsid w:val="009E74F0"/>
    <w:rsid w:val="009F0768"/>
    <w:rsid w:val="009F102A"/>
    <w:rsid w:val="009F151C"/>
    <w:rsid w:val="009F2A19"/>
    <w:rsid w:val="009F514E"/>
    <w:rsid w:val="009F7867"/>
    <w:rsid w:val="009F7D66"/>
    <w:rsid w:val="00A00BD2"/>
    <w:rsid w:val="00A00E56"/>
    <w:rsid w:val="00A027F3"/>
    <w:rsid w:val="00A03778"/>
    <w:rsid w:val="00A03978"/>
    <w:rsid w:val="00A03AB1"/>
    <w:rsid w:val="00A04D7E"/>
    <w:rsid w:val="00A051D9"/>
    <w:rsid w:val="00A05DF3"/>
    <w:rsid w:val="00A06B13"/>
    <w:rsid w:val="00A07E08"/>
    <w:rsid w:val="00A10D79"/>
    <w:rsid w:val="00A11535"/>
    <w:rsid w:val="00A11E56"/>
    <w:rsid w:val="00A12798"/>
    <w:rsid w:val="00A13A09"/>
    <w:rsid w:val="00A14FCD"/>
    <w:rsid w:val="00A153BE"/>
    <w:rsid w:val="00A15DEE"/>
    <w:rsid w:val="00A16462"/>
    <w:rsid w:val="00A167B5"/>
    <w:rsid w:val="00A16DBE"/>
    <w:rsid w:val="00A179E0"/>
    <w:rsid w:val="00A17C4F"/>
    <w:rsid w:val="00A20653"/>
    <w:rsid w:val="00A20A39"/>
    <w:rsid w:val="00A238BD"/>
    <w:rsid w:val="00A23DEF"/>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1B2"/>
    <w:rsid w:val="00A40605"/>
    <w:rsid w:val="00A41D9F"/>
    <w:rsid w:val="00A42A85"/>
    <w:rsid w:val="00A42D07"/>
    <w:rsid w:val="00A44B43"/>
    <w:rsid w:val="00A4503E"/>
    <w:rsid w:val="00A450C0"/>
    <w:rsid w:val="00A45468"/>
    <w:rsid w:val="00A45654"/>
    <w:rsid w:val="00A458C9"/>
    <w:rsid w:val="00A46C9C"/>
    <w:rsid w:val="00A4791B"/>
    <w:rsid w:val="00A50A48"/>
    <w:rsid w:val="00A51180"/>
    <w:rsid w:val="00A51242"/>
    <w:rsid w:val="00A51522"/>
    <w:rsid w:val="00A51573"/>
    <w:rsid w:val="00A51A5E"/>
    <w:rsid w:val="00A52895"/>
    <w:rsid w:val="00A53507"/>
    <w:rsid w:val="00A539A5"/>
    <w:rsid w:val="00A53DA0"/>
    <w:rsid w:val="00A5404D"/>
    <w:rsid w:val="00A555A7"/>
    <w:rsid w:val="00A5765D"/>
    <w:rsid w:val="00A579BD"/>
    <w:rsid w:val="00A607CB"/>
    <w:rsid w:val="00A6351F"/>
    <w:rsid w:val="00A63809"/>
    <w:rsid w:val="00A64278"/>
    <w:rsid w:val="00A6519F"/>
    <w:rsid w:val="00A65A70"/>
    <w:rsid w:val="00A66F36"/>
    <w:rsid w:val="00A6705A"/>
    <w:rsid w:val="00A676D9"/>
    <w:rsid w:val="00A67EFC"/>
    <w:rsid w:val="00A7031E"/>
    <w:rsid w:val="00A71140"/>
    <w:rsid w:val="00A71201"/>
    <w:rsid w:val="00A7205E"/>
    <w:rsid w:val="00A74692"/>
    <w:rsid w:val="00A75A52"/>
    <w:rsid w:val="00A7618B"/>
    <w:rsid w:val="00A7640B"/>
    <w:rsid w:val="00A773A8"/>
    <w:rsid w:val="00A7778B"/>
    <w:rsid w:val="00A803BC"/>
    <w:rsid w:val="00A80969"/>
    <w:rsid w:val="00A812AE"/>
    <w:rsid w:val="00A8213A"/>
    <w:rsid w:val="00A849FB"/>
    <w:rsid w:val="00A85798"/>
    <w:rsid w:val="00A8609D"/>
    <w:rsid w:val="00A86EA7"/>
    <w:rsid w:val="00A87765"/>
    <w:rsid w:val="00A91244"/>
    <w:rsid w:val="00A91C7F"/>
    <w:rsid w:val="00A92066"/>
    <w:rsid w:val="00A92776"/>
    <w:rsid w:val="00A93181"/>
    <w:rsid w:val="00A938E6"/>
    <w:rsid w:val="00A93CCF"/>
    <w:rsid w:val="00A94E4E"/>
    <w:rsid w:val="00A95514"/>
    <w:rsid w:val="00A95BD5"/>
    <w:rsid w:val="00A95C53"/>
    <w:rsid w:val="00A962C1"/>
    <w:rsid w:val="00A963A1"/>
    <w:rsid w:val="00A96F78"/>
    <w:rsid w:val="00A979E1"/>
    <w:rsid w:val="00AA0B9E"/>
    <w:rsid w:val="00AA1087"/>
    <w:rsid w:val="00AA12D0"/>
    <w:rsid w:val="00AA138C"/>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54F3"/>
    <w:rsid w:val="00AB60E2"/>
    <w:rsid w:val="00AB6601"/>
    <w:rsid w:val="00AB674E"/>
    <w:rsid w:val="00AB6D79"/>
    <w:rsid w:val="00AB7806"/>
    <w:rsid w:val="00AC02C1"/>
    <w:rsid w:val="00AC0AB6"/>
    <w:rsid w:val="00AC10AD"/>
    <w:rsid w:val="00AC14D9"/>
    <w:rsid w:val="00AC1E55"/>
    <w:rsid w:val="00AC2D0E"/>
    <w:rsid w:val="00AC3D06"/>
    <w:rsid w:val="00AC429F"/>
    <w:rsid w:val="00AC6006"/>
    <w:rsid w:val="00AC60B4"/>
    <w:rsid w:val="00AC6C48"/>
    <w:rsid w:val="00AC7D98"/>
    <w:rsid w:val="00AD00C5"/>
    <w:rsid w:val="00AD165F"/>
    <w:rsid w:val="00AD2794"/>
    <w:rsid w:val="00AD2BC4"/>
    <w:rsid w:val="00AD2D8A"/>
    <w:rsid w:val="00AD2DC5"/>
    <w:rsid w:val="00AD3455"/>
    <w:rsid w:val="00AD3CAD"/>
    <w:rsid w:val="00AD5A99"/>
    <w:rsid w:val="00AD69FF"/>
    <w:rsid w:val="00AD702B"/>
    <w:rsid w:val="00AD72E6"/>
    <w:rsid w:val="00AD7C95"/>
    <w:rsid w:val="00AD7FCD"/>
    <w:rsid w:val="00AE15CC"/>
    <w:rsid w:val="00AE2BED"/>
    <w:rsid w:val="00AE2D9F"/>
    <w:rsid w:val="00AE3980"/>
    <w:rsid w:val="00AE3DE1"/>
    <w:rsid w:val="00AE5183"/>
    <w:rsid w:val="00AE5439"/>
    <w:rsid w:val="00AE61B2"/>
    <w:rsid w:val="00AE78D1"/>
    <w:rsid w:val="00AE7F89"/>
    <w:rsid w:val="00AF2770"/>
    <w:rsid w:val="00AF2D54"/>
    <w:rsid w:val="00AF315C"/>
    <w:rsid w:val="00AF3458"/>
    <w:rsid w:val="00AF3F7B"/>
    <w:rsid w:val="00AF42B4"/>
    <w:rsid w:val="00AF4B8A"/>
    <w:rsid w:val="00AF4F1B"/>
    <w:rsid w:val="00AF5EC6"/>
    <w:rsid w:val="00AF6C38"/>
    <w:rsid w:val="00AF6E8A"/>
    <w:rsid w:val="00AF7213"/>
    <w:rsid w:val="00AF7771"/>
    <w:rsid w:val="00AF7D92"/>
    <w:rsid w:val="00B00812"/>
    <w:rsid w:val="00B011CC"/>
    <w:rsid w:val="00B04048"/>
    <w:rsid w:val="00B04F3D"/>
    <w:rsid w:val="00B05702"/>
    <w:rsid w:val="00B06DD9"/>
    <w:rsid w:val="00B07CD6"/>
    <w:rsid w:val="00B07E52"/>
    <w:rsid w:val="00B10010"/>
    <w:rsid w:val="00B11775"/>
    <w:rsid w:val="00B1302D"/>
    <w:rsid w:val="00B150D5"/>
    <w:rsid w:val="00B1513F"/>
    <w:rsid w:val="00B15B89"/>
    <w:rsid w:val="00B15E90"/>
    <w:rsid w:val="00B1746F"/>
    <w:rsid w:val="00B20725"/>
    <w:rsid w:val="00B2087E"/>
    <w:rsid w:val="00B20B94"/>
    <w:rsid w:val="00B248D0"/>
    <w:rsid w:val="00B252E8"/>
    <w:rsid w:val="00B2628E"/>
    <w:rsid w:val="00B266B0"/>
    <w:rsid w:val="00B27921"/>
    <w:rsid w:val="00B3000E"/>
    <w:rsid w:val="00B31667"/>
    <w:rsid w:val="00B326A8"/>
    <w:rsid w:val="00B329EB"/>
    <w:rsid w:val="00B32FCD"/>
    <w:rsid w:val="00B33508"/>
    <w:rsid w:val="00B3377E"/>
    <w:rsid w:val="00B35DA4"/>
    <w:rsid w:val="00B40A96"/>
    <w:rsid w:val="00B4184B"/>
    <w:rsid w:val="00B41A5F"/>
    <w:rsid w:val="00B422A7"/>
    <w:rsid w:val="00B42A32"/>
    <w:rsid w:val="00B42FA6"/>
    <w:rsid w:val="00B4399E"/>
    <w:rsid w:val="00B43A16"/>
    <w:rsid w:val="00B45CE1"/>
    <w:rsid w:val="00B46A75"/>
    <w:rsid w:val="00B470A7"/>
    <w:rsid w:val="00B500CD"/>
    <w:rsid w:val="00B5062B"/>
    <w:rsid w:val="00B5109D"/>
    <w:rsid w:val="00B5239C"/>
    <w:rsid w:val="00B53259"/>
    <w:rsid w:val="00B53893"/>
    <w:rsid w:val="00B53895"/>
    <w:rsid w:val="00B548C2"/>
    <w:rsid w:val="00B54A28"/>
    <w:rsid w:val="00B54B6A"/>
    <w:rsid w:val="00B55428"/>
    <w:rsid w:val="00B56340"/>
    <w:rsid w:val="00B570BF"/>
    <w:rsid w:val="00B578A4"/>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1D9C"/>
    <w:rsid w:val="00B82613"/>
    <w:rsid w:val="00B828B5"/>
    <w:rsid w:val="00B82ED8"/>
    <w:rsid w:val="00B83B93"/>
    <w:rsid w:val="00B83E1B"/>
    <w:rsid w:val="00B8404A"/>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4AFC"/>
    <w:rsid w:val="00BA76A9"/>
    <w:rsid w:val="00BB3E2B"/>
    <w:rsid w:val="00BB5D1C"/>
    <w:rsid w:val="00BB6552"/>
    <w:rsid w:val="00BB6B9B"/>
    <w:rsid w:val="00BB754F"/>
    <w:rsid w:val="00BC0058"/>
    <w:rsid w:val="00BC0740"/>
    <w:rsid w:val="00BC07D4"/>
    <w:rsid w:val="00BC0A5D"/>
    <w:rsid w:val="00BC0BE3"/>
    <w:rsid w:val="00BC1AD9"/>
    <w:rsid w:val="00BC3257"/>
    <w:rsid w:val="00BC32E7"/>
    <w:rsid w:val="00BC4F81"/>
    <w:rsid w:val="00BC5387"/>
    <w:rsid w:val="00BC5670"/>
    <w:rsid w:val="00BC58B9"/>
    <w:rsid w:val="00BD23EA"/>
    <w:rsid w:val="00BD280E"/>
    <w:rsid w:val="00BD3056"/>
    <w:rsid w:val="00BD3846"/>
    <w:rsid w:val="00BD3E68"/>
    <w:rsid w:val="00BD4E05"/>
    <w:rsid w:val="00BD598A"/>
    <w:rsid w:val="00BD5C7A"/>
    <w:rsid w:val="00BD6513"/>
    <w:rsid w:val="00BD7013"/>
    <w:rsid w:val="00BD70EC"/>
    <w:rsid w:val="00BD75B4"/>
    <w:rsid w:val="00BD7BEB"/>
    <w:rsid w:val="00BD7D14"/>
    <w:rsid w:val="00BE02B4"/>
    <w:rsid w:val="00BE1CE5"/>
    <w:rsid w:val="00BE3492"/>
    <w:rsid w:val="00BE4C6E"/>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3309"/>
    <w:rsid w:val="00C037E0"/>
    <w:rsid w:val="00C066D4"/>
    <w:rsid w:val="00C072FE"/>
    <w:rsid w:val="00C11ADE"/>
    <w:rsid w:val="00C12E39"/>
    <w:rsid w:val="00C13D47"/>
    <w:rsid w:val="00C14164"/>
    <w:rsid w:val="00C14C53"/>
    <w:rsid w:val="00C159FA"/>
    <w:rsid w:val="00C15D65"/>
    <w:rsid w:val="00C15D8E"/>
    <w:rsid w:val="00C17012"/>
    <w:rsid w:val="00C178FB"/>
    <w:rsid w:val="00C17DF9"/>
    <w:rsid w:val="00C2030B"/>
    <w:rsid w:val="00C20ACC"/>
    <w:rsid w:val="00C2139F"/>
    <w:rsid w:val="00C22B28"/>
    <w:rsid w:val="00C257B7"/>
    <w:rsid w:val="00C272E8"/>
    <w:rsid w:val="00C30B60"/>
    <w:rsid w:val="00C31FAA"/>
    <w:rsid w:val="00C32891"/>
    <w:rsid w:val="00C32D0D"/>
    <w:rsid w:val="00C33359"/>
    <w:rsid w:val="00C348D6"/>
    <w:rsid w:val="00C365E7"/>
    <w:rsid w:val="00C36E34"/>
    <w:rsid w:val="00C404EE"/>
    <w:rsid w:val="00C4171B"/>
    <w:rsid w:val="00C42689"/>
    <w:rsid w:val="00C42988"/>
    <w:rsid w:val="00C42BD4"/>
    <w:rsid w:val="00C43FF0"/>
    <w:rsid w:val="00C44641"/>
    <w:rsid w:val="00C455D8"/>
    <w:rsid w:val="00C45EF5"/>
    <w:rsid w:val="00C46B7E"/>
    <w:rsid w:val="00C47290"/>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2A8"/>
    <w:rsid w:val="00C65DFA"/>
    <w:rsid w:val="00C661E8"/>
    <w:rsid w:val="00C70084"/>
    <w:rsid w:val="00C711A5"/>
    <w:rsid w:val="00C7235B"/>
    <w:rsid w:val="00C72E18"/>
    <w:rsid w:val="00C731AD"/>
    <w:rsid w:val="00C7380B"/>
    <w:rsid w:val="00C74421"/>
    <w:rsid w:val="00C75F2F"/>
    <w:rsid w:val="00C75FEE"/>
    <w:rsid w:val="00C76F1D"/>
    <w:rsid w:val="00C77937"/>
    <w:rsid w:val="00C77CA4"/>
    <w:rsid w:val="00C77D26"/>
    <w:rsid w:val="00C80BDF"/>
    <w:rsid w:val="00C815DF"/>
    <w:rsid w:val="00C82454"/>
    <w:rsid w:val="00C82FEE"/>
    <w:rsid w:val="00C84D39"/>
    <w:rsid w:val="00C85277"/>
    <w:rsid w:val="00C85806"/>
    <w:rsid w:val="00C85D76"/>
    <w:rsid w:val="00C873AC"/>
    <w:rsid w:val="00C87DA6"/>
    <w:rsid w:val="00C9213B"/>
    <w:rsid w:val="00C93462"/>
    <w:rsid w:val="00C93852"/>
    <w:rsid w:val="00C94384"/>
    <w:rsid w:val="00C94938"/>
    <w:rsid w:val="00C94A34"/>
    <w:rsid w:val="00C94C2B"/>
    <w:rsid w:val="00C94F73"/>
    <w:rsid w:val="00C95609"/>
    <w:rsid w:val="00C96F79"/>
    <w:rsid w:val="00C97CF9"/>
    <w:rsid w:val="00CA17DD"/>
    <w:rsid w:val="00CA17DF"/>
    <w:rsid w:val="00CA1863"/>
    <w:rsid w:val="00CA1941"/>
    <w:rsid w:val="00CA26CE"/>
    <w:rsid w:val="00CA391D"/>
    <w:rsid w:val="00CA3A0A"/>
    <w:rsid w:val="00CA3ACD"/>
    <w:rsid w:val="00CA4DCC"/>
    <w:rsid w:val="00CA4F8B"/>
    <w:rsid w:val="00CA5445"/>
    <w:rsid w:val="00CA59CD"/>
    <w:rsid w:val="00CB09DA"/>
    <w:rsid w:val="00CB0BD9"/>
    <w:rsid w:val="00CB1CAC"/>
    <w:rsid w:val="00CB1DE8"/>
    <w:rsid w:val="00CB1E3B"/>
    <w:rsid w:val="00CB1F1D"/>
    <w:rsid w:val="00CB3FCE"/>
    <w:rsid w:val="00CB6509"/>
    <w:rsid w:val="00CB6795"/>
    <w:rsid w:val="00CB71F8"/>
    <w:rsid w:val="00CC0858"/>
    <w:rsid w:val="00CC180A"/>
    <w:rsid w:val="00CC26DB"/>
    <w:rsid w:val="00CC300C"/>
    <w:rsid w:val="00CC35AE"/>
    <w:rsid w:val="00CC3D68"/>
    <w:rsid w:val="00CC3DAA"/>
    <w:rsid w:val="00CC4C2C"/>
    <w:rsid w:val="00CC5057"/>
    <w:rsid w:val="00CD03A6"/>
    <w:rsid w:val="00CD078F"/>
    <w:rsid w:val="00CD121E"/>
    <w:rsid w:val="00CD14FE"/>
    <w:rsid w:val="00CD185D"/>
    <w:rsid w:val="00CD28F0"/>
    <w:rsid w:val="00CD3ED8"/>
    <w:rsid w:val="00CD4F56"/>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921"/>
    <w:rsid w:val="00D060FF"/>
    <w:rsid w:val="00D064E8"/>
    <w:rsid w:val="00D06546"/>
    <w:rsid w:val="00D06572"/>
    <w:rsid w:val="00D065CD"/>
    <w:rsid w:val="00D10B56"/>
    <w:rsid w:val="00D12325"/>
    <w:rsid w:val="00D12761"/>
    <w:rsid w:val="00D14487"/>
    <w:rsid w:val="00D15E7E"/>
    <w:rsid w:val="00D16058"/>
    <w:rsid w:val="00D16FDD"/>
    <w:rsid w:val="00D20016"/>
    <w:rsid w:val="00D207A7"/>
    <w:rsid w:val="00D20FD3"/>
    <w:rsid w:val="00D22029"/>
    <w:rsid w:val="00D2279F"/>
    <w:rsid w:val="00D22AF1"/>
    <w:rsid w:val="00D22E93"/>
    <w:rsid w:val="00D242DA"/>
    <w:rsid w:val="00D247EC"/>
    <w:rsid w:val="00D25BCB"/>
    <w:rsid w:val="00D26448"/>
    <w:rsid w:val="00D264CE"/>
    <w:rsid w:val="00D26670"/>
    <w:rsid w:val="00D2670E"/>
    <w:rsid w:val="00D26910"/>
    <w:rsid w:val="00D27B8B"/>
    <w:rsid w:val="00D30CF0"/>
    <w:rsid w:val="00D31681"/>
    <w:rsid w:val="00D31B6E"/>
    <w:rsid w:val="00D3232B"/>
    <w:rsid w:val="00D3239F"/>
    <w:rsid w:val="00D324A4"/>
    <w:rsid w:val="00D3250C"/>
    <w:rsid w:val="00D3289E"/>
    <w:rsid w:val="00D328F6"/>
    <w:rsid w:val="00D345D4"/>
    <w:rsid w:val="00D3462C"/>
    <w:rsid w:val="00D34DEB"/>
    <w:rsid w:val="00D35198"/>
    <w:rsid w:val="00D353D9"/>
    <w:rsid w:val="00D3584B"/>
    <w:rsid w:val="00D35A85"/>
    <w:rsid w:val="00D361F0"/>
    <w:rsid w:val="00D36964"/>
    <w:rsid w:val="00D37E9A"/>
    <w:rsid w:val="00D4081B"/>
    <w:rsid w:val="00D413C3"/>
    <w:rsid w:val="00D42240"/>
    <w:rsid w:val="00D427C3"/>
    <w:rsid w:val="00D42EB8"/>
    <w:rsid w:val="00D43D3C"/>
    <w:rsid w:val="00D43E0B"/>
    <w:rsid w:val="00D44932"/>
    <w:rsid w:val="00D46111"/>
    <w:rsid w:val="00D4662F"/>
    <w:rsid w:val="00D47539"/>
    <w:rsid w:val="00D47C16"/>
    <w:rsid w:val="00D502AF"/>
    <w:rsid w:val="00D50764"/>
    <w:rsid w:val="00D50C12"/>
    <w:rsid w:val="00D514A9"/>
    <w:rsid w:val="00D51A77"/>
    <w:rsid w:val="00D5267B"/>
    <w:rsid w:val="00D53649"/>
    <w:rsid w:val="00D53830"/>
    <w:rsid w:val="00D53DD5"/>
    <w:rsid w:val="00D5423E"/>
    <w:rsid w:val="00D54FB3"/>
    <w:rsid w:val="00D55889"/>
    <w:rsid w:val="00D56B5F"/>
    <w:rsid w:val="00D57A3F"/>
    <w:rsid w:val="00D57AF0"/>
    <w:rsid w:val="00D61815"/>
    <w:rsid w:val="00D627E3"/>
    <w:rsid w:val="00D62ECD"/>
    <w:rsid w:val="00D64426"/>
    <w:rsid w:val="00D64475"/>
    <w:rsid w:val="00D65D78"/>
    <w:rsid w:val="00D66B04"/>
    <w:rsid w:val="00D67BC5"/>
    <w:rsid w:val="00D67F8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200"/>
    <w:rsid w:val="00D84A57"/>
    <w:rsid w:val="00D85B67"/>
    <w:rsid w:val="00D87307"/>
    <w:rsid w:val="00D874DF"/>
    <w:rsid w:val="00D87A12"/>
    <w:rsid w:val="00D90789"/>
    <w:rsid w:val="00D90E1E"/>
    <w:rsid w:val="00D9248D"/>
    <w:rsid w:val="00D930E1"/>
    <w:rsid w:val="00D9354D"/>
    <w:rsid w:val="00D9415C"/>
    <w:rsid w:val="00D942CC"/>
    <w:rsid w:val="00D944E4"/>
    <w:rsid w:val="00D94D87"/>
    <w:rsid w:val="00D95B31"/>
    <w:rsid w:val="00D95DCC"/>
    <w:rsid w:val="00D95E7D"/>
    <w:rsid w:val="00D962DC"/>
    <w:rsid w:val="00DA08DE"/>
    <w:rsid w:val="00DA180C"/>
    <w:rsid w:val="00DA18A2"/>
    <w:rsid w:val="00DA24AF"/>
    <w:rsid w:val="00DA3446"/>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3F22"/>
    <w:rsid w:val="00DB46D0"/>
    <w:rsid w:val="00DB4E06"/>
    <w:rsid w:val="00DB6A80"/>
    <w:rsid w:val="00DB6C06"/>
    <w:rsid w:val="00DB7B06"/>
    <w:rsid w:val="00DC1D9C"/>
    <w:rsid w:val="00DC318A"/>
    <w:rsid w:val="00DC3A9D"/>
    <w:rsid w:val="00DC4600"/>
    <w:rsid w:val="00DC5584"/>
    <w:rsid w:val="00DC6C1E"/>
    <w:rsid w:val="00DC7133"/>
    <w:rsid w:val="00DC7255"/>
    <w:rsid w:val="00DC7951"/>
    <w:rsid w:val="00DD1C4B"/>
    <w:rsid w:val="00DD1F7B"/>
    <w:rsid w:val="00DD229E"/>
    <w:rsid w:val="00DD3029"/>
    <w:rsid w:val="00DD317A"/>
    <w:rsid w:val="00DD3BF1"/>
    <w:rsid w:val="00DD55E0"/>
    <w:rsid w:val="00DD7390"/>
    <w:rsid w:val="00DE0E7E"/>
    <w:rsid w:val="00DE18A3"/>
    <w:rsid w:val="00DE1904"/>
    <w:rsid w:val="00DE1DAA"/>
    <w:rsid w:val="00DE3DBB"/>
    <w:rsid w:val="00DE43A2"/>
    <w:rsid w:val="00DE4A74"/>
    <w:rsid w:val="00DE4B05"/>
    <w:rsid w:val="00DE541C"/>
    <w:rsid w:val="00DE55DC"/>
    <w:rsid w:val="00DE5685"/>
    <w:rsid w:val="00DE737B"/>
    <w:rsid w:val="00DE775C"/>
    <w:rsid w:val="00DF100B"/>
    <w:rsid w:val="00DF11B7"/>
    <w:rsid w:val="00DF4359"/>
    <w:rsid w:val="00DF4CAB"/>
    <w:rsid w:val="00DF73C1"/>
    <w:rsid w:val="00DF7511"/>
    <w:rsid w:val="00DF7751"/>
    <w:rsid w:val="00E0062B"/>
    <w:rsid w:val="00E009B1"/>
    <w:rsid w:val="00E00BC3"/>
    <w:rsid w:val="00E011D7"/>
    <w:rsid w:val="00E01245"/>
    <w:rsid w:val="00E031BB"/>
    <w:rsid w:val="00E0417B"/>
    <w:rsid w:val="00E0576C"/>
    <w:rsid w:val="00E068BC"/>
    <w:rsid w:val="00E073F0"/>
    <w:rsid w:val="00E10761"/>
    <w:rsid w:val="00E11D7A"/>
    <w:rsid w:val="00E11EEB"/>
    <w:rsid w:val="00E12062"/>
    <w:rsid w:val="00E128F2"/>
    <w:rsid w:val="00E13B8C"/>
    <w:rsid w:val="00E13E5A"/>
    <w:rsid w:val="00E13EE4"/>
    <w:rsid w:val="00E16463"/>
    <w:rsid w:val="00E20B20"/>
    <w:rsid w:val="00E213A2"/>
    <w:rsid w:val="00E239D1"/>
    <w:rsid w:val="00E246B9"/>
    <w:rsid w:val="00E250C5"/>
    <w:rsid w:val="00E26727"/>
    <w:rsid w:val="00E26947"/>
    <w:rsid w:val="00E26970"/>
    <w:rsid w:val="00E2728F"/>
    <w:rsid w:val="00E27791"/>
    <w:rsid w:val="00E30F2D"/>
    <w:rsid w:val="00E319DB"/>
    <w:rsid w:val="00E31AFC"/>
    <w:rsid w:val="00E3250F"/>
    <w:rsid w:val="00E32677"/>
    <w:rsid w:val="00E3409E"/>
    <w:rsid w:val="00E34F76"/>
    <w:rsid w:val="00E37A0F"/>
    <w:rsid w:val="00E37BE5"/>
    <w:rsid w:val="00E40B7F"/>
    <w:rsid w:val="00E41A27"/>
    <w:rsid w:val="00E41AB4"/>
    <w:rsid w:val="00E42120"/>
    <w:rsid w:val="00E42737"/>
    <w:rsid w:val="00E44064"/>
    <w:rsid w:val="00E44318"/>
    <w:rsid w:val="00E448D2"/>
    <w:rsid w:val="00E44906"/>
    <w:rsid w:val="00E45C77"/>
    <w:rsid w:val="00E4608B"/>
    <w:rsid w:val="00E46D7F"/>
    <w:rsid w:val="00E477BA"/>
    <w:rsid w:val="00E501D3"/>
    <w:rsid w:val="00E537E1"/>
    <w:rsid w:val="00E53A01"/>
    <w:rsid w:val="00E564C4"/>
    <w:rsid w:val="00E567C9"/>
    <w:rsid w:val="00E604C4"/>
    <w:rsid w:val="00E60809"/>
    <w:rsid w:val="00E61300"/>
    <w:rsid w:val="00E635B9"/>
    <w:rsid w:val="00E65D15"/>
    <w:rsid w:val="00E66CD8"/>
    <w:rsid w:val="00E67802"/>
    <w:rsid w:val="00E67EE5"/>
    <w:rsid w:val="00E7013A"/>
    <w:rsid w:val="00E70181"/>
    <w:rsid w:val="00E703D5"/>
    <w:rsid w:val="00E7348D"/>
    <w:rsid w:val="00E73AB7"/>
    <w:rsid w:val="00E74F5D"/>
    <w:rsid w:val="00E75BB2"/>
    <w:rsid w:val="00E76034"/>
    <w:rsid w:val="00E77774"/>
    <w:rsid w:val="00E80440"/>
    <w:rsid w:val="00E81592"/>
    <w:rsid w:val="00E817E0"/>
    <w:rsid w:val="00E82EE4"/>
    <w:rsid w:val="00E831E7"/>
    <w:rsid w:val="00E843B5"/>
    <w:rsid w:val="00E84A3B"/>
    <w:rsid w:val="00E851FF"/>
    <w:rsid w:val="00E85307"/>
    <w:rsid w:val="00E856DF"/>
    <w:rsid w:val="00E85B0A"/>
    <w:rsid w:val="00E87742"/>
    <w:rsid w:val="00E907E4"/>
    <w:rsid w:val="00E90A24"/>
    <w:rsid w:val="00E90C34"/>
    <w:rsid w:val="00E91503"/>
    <w:rsid w:val="00E919AC"/>
    <w:rsid w:val="00E93499"/>
    <w:rsid w:val="00E93CB3"/>
    <w:rsid w:val="00E946A6"/>
    <w:rsid w:val="00E947E4"/>
    <w:rsid w:val="00E9480A"/>
    <w:rsid w:val="00E9486D"/>
    <w:rsid w:val="00E95005"/>
    <w:rsid w:val="00E96A29"/>
    <w:rsid w:val="00E96B28"/>
    <w:rsid w:val="00E96FE6"/>
    <w:rsid w:val="00EA1059"/>
    <w:rsid w:val="00EA1D43"/>
    <w:rsid w:val="00EA21D5"/>
    <w:rsid w:val="00EA4EC9"/>
    <w:rsid w:val="00EA568E"/>
    <w:rsid w:val="00EA5E0F"/>
    <w:rsid w:val="00EA6FE4"/>
    <w:rsid w:val="00EA798D"/>
    <w:rsid w:val="00EA7E96"/>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1D9"/>
    <w:rsid w:val="00EC4904"/>
    <w:rsid w:val="00EC4DF6"/>
    <w:rsid w:val="00EC5F2F"/>
    <w:rsid w:val="00EC651E"/>
    <w:rsid w:val="00EC65E5"/>
    <w:rsid w:val="00EC692E"/>
    <w:rsid w:val="00EC745E"/>
    <w:rsid w:val="00EC775C"/>
    <w:rsid w:val="00EC7EAF"/>
    <w:rsid w:val="00ED1327"/>
    <w:rsid w:val="00ED27C3"/>
    <w:rsid w:val="00ED2AE2"/>
    <w:rsid w:val="00ED2C5A"/>
    <w:rsid w:val="00ED3189"/>
    <w:rsid w:val="00ED33AE"/>
    <w:rsid w:val="00ED3775"/>
    <w:rsid w:val="00ED39CF"/>
    <w:rsid w:val="00ED4A6D"/>
    <w:rsid w:val="00ED6D4A"/>
    <w:rsid w:val="00ED721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0A01"/>
    <w:rsid w:val="00EF1093"/>
    <w:rsid w:val="00EF1A8C"/>
    <w:rsid w:val="00EF1FCB"/>
    <w:rsid w:val="00EF21C3"/>
    <w:rsid w:val="00EF27FB"/>
    <w:rsid w:val="00EF2E6B"/>
    <w:rsid w:val="00EF3B2E"/>
    <w:rsid w:val="00EF54D1"/>
    <w:rsid w:val="00EF5FAB"/>
    <w:rsid w:val="00EF67BB"/>
    <w:rsid w:val="00EF72F9"/>
    <w:rsid w:val="00F0021E"/>
    <w:rsid w:val="00F0030E"/>
    <w:rsid w:val="00F00CD1"/>
    <w:rsid w:val="00F01E6B"/>
    <w:rsid w:val="00F0241C"/>
    <w:rsid w:val="00F031EE"/>
    <w:rsid w:val="00F05759"/>
    <w:rsid w:val="00F064EC"/>
    <w:rsid w:val="00F07F39"/>
    <w:rsid w:val="00F10CB9"/>
    <w:rsid w:val="00F110D5"/>
    <w:rsid w:val="00F12351"/>
    <w:rsid w:val="00F15193"/>
    <w:rsid w:val="00F15EDD"/>
    <w:rsid w:val="00F15F6B"/>
    <w:rsid w:val="00F16739"/>
    <w:rsid w:val="00F16DE2"/>
    <w:rsid w:val="00F2052B"/>
    <w:rsid w:val="00F2260F"/>
    <w:rsid w:val="00F229BF"/>
    <w:rsid w:val="00F22CED"/>
    <w:rsid w:val="00F23606"/>
    <w:rsid w:val="00F242AD"/>
    <w:rsid w:val="00F247F2"/>
    <w:rsid w:val="00F2518F"/>
    <w:rsid w:val="00F252A8"/>
    <w:rsid w:val="00F25769"/>
    <w:rsid w:val="00F2617A"/>
    <w:rsid w:val="00F265F7"/>
    <w:rsid w:val="00F27FA6"/>
    <w:rsid w:val="00F33DC8"/>
    <w:rsid w:val="00F34444"/>
    <w:rsid w:val="00F378F1"/>
    <w:rsid w:val="00F403A1"/>
    <w:rsid w:val="00F403D5"/>
    <w:rsid w:val="00F403DB"/>
    <w:rsid w:val="00F4065A"/>
    <w:rsid w:val="00F4275C"/>
    <w:rsid w:val="00F4394D"/>
    <w:rsid w:val="00F45693"/>
    <w:rsid w:val="00F46A99"/>
    <w:rsid w:val="00F52339"/>
    <w:rsid w:val="00F5277A"/>
    <w:rsid w:val="00F532E8"/>
    <w:rsid w:val="00F537FF"/>
    <w:rsid w:val="00F5455C"/>
    <w:rsid w:val="00F54E36"/>
    <w:rsid w:val="00F560FE"/>
    <w:rsid w:val="00F566D8"/>
    <w:rsid w:val="00F60CD6"/>
    <w:rsid w:val="00F6111C"/>
    <w:rsid w:val="00F614C0"/>
    <w:rsid w:val="00F61647"/>
    <w:rsid w:val="00F6260C"/>
    <w:rsid w:val="00F657CF"/>
    <w:rsid w:val="00F65808"/>
    <w:rsid w:val="00F66A00"/>
    <w:rsid w:val="00F66CFB"/>
    <w:rsid w:val="00F6741E"/>
    <w:rsid w:val="00F713A3"/>
    <w:rsid w:val="00F71A8F"/>
    <w:rsid w:val="00F7415E"/>
    <w:rsid w:val="00F75330"/>
    <w:rsid w:val="00F75B66"/>
    <w:rsid w:val="00F76BD9"/>
    <w:rsid w:val="00F80318"/>
    <w:rsid w:val="00F80703"/>
    <w:rsid w:val="00F80948"/>
    <w:rsid w:val="00F81387"/>
    <w:rsid w:val="00F822E3"/>
    <w:rsid w:val="00F82866"/>
    <w:rsid w:val="00F82E00"/>
    <w:rsid w:val="00F841FB"/>
    <w:rsid w:val="00F84421"/>
    <w:rsid w:val="00F8449B"/>
    <w:rsid w:val="00F84539"/>
    <w:rsid w:val="00F85159"/>
    <w:rsid w:val="00F8543B"/>
    <w:rsid w:val="00F85691"/>
    <w:rsid w:val="00F87032"/>
    <w:rsid w:val="00F87094"/>
    <w:rsid w:val="00F87AB3"/>
    <w:rsid w:val="00F913DC"/>
    <w:rsid w:val="00F91DDA"/>
    <w:rsid w:val="00F9397A"/>
    <w:rsid w:val="00F93A37"/>
    <w:rsid w:val="00F93E77"/>
    <w:rsid w:val="00F94182"/>
    <w:rsid w:val="00F9431F"/>
    <w:rsid w:val="00F944D9"/>
    <w:rsid w:val="00F94DB3"/>
    <w:rsid w:val="00F96500"/>
    <w:rsid w:val="00FA1176"/>
    <w:rsid w:val="00FA3071"/>
    <w:rsid w:val="00FA31E7"/>
    <w:rsid w:val="00FA37EE"/>
    <w:rsid w:val="00FA413A"/>
    <w:rsid w:val="00FA4144"/>
    <w:rsid w:val="00FA4DDF"/>
    <w:rsid w:val="00FA5756"/>
    <w:rsid w:val="00FA645E"/>
    <w:rsid w:val="00FA6E7F"/>
    <w:rsid w:val="00FA7114"/>
    <w:rsid w:val="00FB13E0"/>
    <w:rsid w:val="00FB17DA"/>
    <w:rsid w:val="00FB22D7"/>
    <w:rsid w:val="00FB2379"/>
    <w:rsid w:val="00FB3CB7"/>
    <w:rsid w:val="00FB3ECF"/>
    <w:rsid w:val="00FB4B8A"/>
    <w:rsid w:val="00FB5152"/>
    <w:rsid w:val="00FB5F8F"/>
    <w:rsid w:val="00FB6739"/>
    <w:rsid w:val="00FB680E"/>
    <w:rsid w:val="00FB7A0B"/>
    <w:rsid w:val="00FC0065"/>
    <w:rsid w:val="00FC0147"/>
    <w:rsid w:val="00FC0285"/>
    <w:rsid w:val="00FC062F"/>
    <w:rsid w:val="00FC3AEE"/>
    <w:rsid w:val="00FC4542"/>
    <w:rsid w:val="00FC5E90"/>
    <w:rsid w:val="00FC6238"/>
    <w:rsid w:val="00FC6615"/>
    <w:rsid w:val="00FC7951"/>
    <w:rsid w:val="00FC7EAE"/>
    <w:rsid w:val="00FD236B"/>
    <w:rsid w:val="00FD2785"/>
    <w:rsid w:val="00FD33FC"/>
    <w:rsid w:val="00FD3436"/>
    <w:rsid w:val="00FD3730"/>
    <w:rsid w:val="00FD3ADE"/>
    <w:rsid w:val="00FD3B08"/>
    <w:rsid w:val="00FD442C"/>
    <w:rsid w:val="00FD4806"/>
    <w:rsid w:val="00FD4BA4"/>
    <w:rsid w:val="00FD534E"/>
    <w:rsid w:val="00FD56C7"/>
    <w:rsid w:val="00FD5CBB"/>
    <w:rsid w:val="00FD6564"/>
    <w:rsid w:val="00FD6B74"/>
    <w:rsid w:val="00FD70AE"/>
    <w:rsid w:val="00FD7F71"/>
    <w:rsid w:val="00FE002E"/>
    <w:rsid w:val="00FE2371"/>
    <w:rsid w:val="00FE2398"/>
    <w:rsid w:val="00FE486E"/>
    <w:rsid w:val="00FE515A"/>
    <w:rsid w:val="00FE5421"/>
    <w:rsid w:val="00FE5624"/>
    <w:rsid w:val="00FE5D2C"/>
    <w:rsid w:val="00FE5FBF"/>
    <w:rsid w:val="00FE669F"/>
    <w:rsid w:val="00FE6C25"/>
    <w:rsid w:val="00FE6C7A"/>
    <w:rsid w:val="00FE7619"/>
    <w:rsid w:val="00FE7AD9"/>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rsid w:val="00E851FF"/>
    <w:rPr>
      <w:rFonts w:ascii="Tahoma" w:hAnsi="Tahoma" w:cs="Tahoma"/>
      <w:shd w:val="clear" w:color="auto" w:fill="000080"/>
      <w:lang w:val="en-GB"/>
    </w:rPr>
  </w:style>
  <w:style w:type="character" w:customStyle="1" w:styleId="BalloonTextChar">
    <w:name w:val="Balloon Text Char"/>
    <w:link w:val="BalloonText"/>
    <w:rsid w:val="00E851FF"/>
    <w:rPr>
      <w:rFonts w:ascii="Tahoma" w:hAnsi="Tahoma" w:cs="Tahoma"/>
      <w:sz w:val="16"/>
      <w:szCs w:val="16"/>
      <w:lang w:val="en-GB"/>
    </w:rPr>
  </w:style>
  <w:style w:type="character" w:customStyle="1" w:styleId="B1Char1">
    <w:name w:val="B1 Char1"/>
    <w:rsid w:val="00E851FF"/>
    <w:rPr>
      <w:lang w:val="en-GB" w:eastAsia="en-US"/>
    </w:rPr>
  </w:style>
  <w:style w:type="character" w:customStyle="1" w:styleId="Heading3Char">
    <w:name w:val="Heading 3 Char"/>
    <w:aliases w:val="Heading 3 3GPP Char"/>
    <w:link w:val="Heading3"/>
    <w:rsid w:val="00E851FF"/>
    <w:rPr>
      <w:rFonts w:ascii="Arial" w:hAnsi="Arial"/>
      <w:sz w:val="28"/>
      <w:lang w:val="en-GB"/>
    </w:rPr>
  </w:style>
  <w:style w:type="character" w:customStyle="1" w:styleId="CommentSubjectChar">
    <w:name w:val="Comment Subject Char"/>
    <w:link w:val="CommentSubject"/>
    <w:rsid w:val="00E851FF"/>
    <w:rPr>
      <w:rFonts w:ascii="Times New Roman" w:eastAsia="Times New Roman" w:hAnsi="Times New Roman"/>
      <w:b/>
      <w:bCs/>
      <w:lang w:val="en-GB"/>
    </w:rPr>
  </w:style>
  <w:style w:type="character" w:customStyle="1" w:styleId="Heading4Char">
    <w:name w:val="Heading 4 Char"/>
    <w:link w:val="Heading4"/>
    <w:rsid w:val="00E851FF"/>
    <w:rPr>
      <w:rFonts w:ascii="Arial" w:hAnsi="Arial"/>
      <w:sz w:val="24"/>
      <w:lang w:val="en-GB"/>
    </w:rPr>
  </w:style>
  <w:style w:type="character" w:customStyle="1" w:styleId="Heading5Char">
    <w:name w:val="Heading 5 Char"/>
    <w:link w:val="Heading5"/>
    <w:rsid w:val="00E851FF"/>
    <w:rPr>
      <w:rFonts w:ascii="Arial" w:hAnsi="Arial"/>
      <w:sz w:val="22"/>
      <w:lang w:val="en-GB"/>
    </w:rPr>
  </w:style>
  <w:style w:type="character" w:customStyle="1" w:styleId="Heading6Char">
    <w:name w:val="Heading 6 Char"/>
    <w:link w:val="Heading6"/>
    <w:rsid w:val="00E851FF"/>
    <w:rPr>
      <w:rFonts w:ascii="Arial" w:hAnsi="Arial"/>
      <w:lang w:val="en-GB"/>
    </w:rPr>
  </w:style>
  <w:style w:type="character" w:customStyle="1" w:styleId="Heading7Char">
    <w:name w:val="Heading 7 Char"/>
    <w:link w:val="Heading7"/>
    <w:rsid w:val="00E851FF"/>
    <w:rPr>
      <w:rFonts w:ascii="Arial" w:hAnsi="Arial"/>
      <w:lang w:val="en-GB"/>
    </w:rPr>
  </w:style>
  <w:style w:type="character" w:customStyle="1" w:styleId="Heading8Char">
    <w:name w:val="Heading 8 Char"/>
    <w:link w:val="Heading8"/>
    <w:rsid w:val="00E851FF"/>
    <w:rPr>
      <w:rFonts w:ascii="Arial" w:hAnsi="Arial"/>
      <w:sz w:val="36"/>
      <w:lang w:val="en-GB"/>
    </w:rPr>
  </w:style>
  <w:style w:type="character" w:customStyle="1" w:styleId="Heading9Char">
    <w:name w:val="Heading 9 Char"/>
    <w:link w:val="Heading9"/>
    <w:rsid w:val="00E851FF"/>
    <w:rPr>
      <w:rFonts w:ascii="Arial" w:hAnsi="Arial"/>
      <w:sz w:val="36"/>
      <w:lang w:val="en-GB"/>
    </w:rPr>
  </w:style>
  <w:style w:type="character" w:customStyle="1" w:styleId="FooterChar">
    <w:name w:val="Footer Char"/>
    <w:link w:val="Footer"/>
    <w:rsid w:val="00E851FF"/>
    <w:rPr>
      <w:rFonts w:ascii="Arial" w:hAnsi="Arial"/>
      <w:b/>
      <w:i/>
      <w:noProof/>
      <w:sz w:val="18"/>
    </w:rPr>
  </w:style>
  <w:style w:type="character" w:customStyle="1" w:styleId="B10">
    <w:name w:val="B1 (文字)"/>
    <w:uiPriority w:val="99"/>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qFormat/>
    <w:rsid w:val="00E851FF"/>
    <w:rPr>
      <w:b/>
      <w:bCs/>
    </w:rPr>
  </w:style>
  <w:style w:type="character" w:customStyle="1" w:styleId="B2Char">
    <w:name w:val="B2 Char"/>
    <w:link w:val="B2"/>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 w:type="paragraph" w:customStyle="1" w:styleId="bullet">
    <w:name w:val="bullet"/>
    <w:basedOn w:val="ListParagraph"/>
    <w:uiPriority w:val="99"/>
    <w:qFormat/>
    <w:rsid w:val="003578D2"/>
    <w:pPr>
      <w:numPr>
        <w:numId w:val="1"/>
      </w:numPr>
      <w:tabs>
        <w:tab w:val="num" w:pos="360"/>
      </w:tabs>
      <w:ind w:left="840" w:hanging="720"/>
    </w:pPr>
    <w:rPr>
      <w:rFonts w:ascii="Arial" w:eastAsiaTheme="minorEastAsia" w:hAnsi="Arial" w:cs="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22895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403499">
      <w:bodyDiv w:val="1"/>
      <w:marLeft w:val="0"/>
      <w:marRight w:val="0"/>
      <w:marTop w:val="0"/>
      <w:marBottom w:val="0"/>
      <w:divBdr>
        <w:top w:val="none" w:sz="0" w:space="0" w:color="auto"/>
        <w:left w:val="none" w:sz="0" w:space="0" w:color="auto"/>
        <w:bottom w:val="none" w:sz="0" w:space="0" w:color="auto"/>
        <w:right w:val="none" w:sz="0" w:space="0" w:color="auto"/>
      </w:divBdr>
      <w:divsChild>
        <w:div w:id="779034693">
          <w:marLeft w:val="720"/>
          <w:marRight w:val="0"/>
          <w:marTop w:val="0"/>
          <w:marBottom w:val="60"/>
          <w:divBdr>
            <w:top w:val="none" w:sz="0" w:space="0" w:color="auto"/>
            <w:left w:val="none" w:sz="0" w:space="0" w:color="auto"/>
            <w:bottom w:val="none" w:sz="0" w:space="0" w:color="auto"/>
            <w:right w:val="none" w:sz="0" w:space="0" w:color="auto"/>
          </w:divBdr>
        </w:div>
        <w:div w:id="62875938">
          <w:marLeft w:val="720"/>
          <w:marRight w:val="0"/>
          <w:marTop w:val="0"/>
          <w:marBottom w:val="60"/>
          <w:divBdr>
            <w:top w:val="none" w:sz="0" w:space="0" w:color="auto"/>
            <w:left w:val="none" w:sz="0" w:space="0" w:color="auto"/>
            <w:bottom w:val="none" w:sz="0" w:space="0" w:color="auto"/>
            <w:right w:val="none" w:sz="0" w:space="0" w:color="auto"/>
          </w:divBdr>
        </w:div>
        <w:div w:id="583496136">
          <w:marLeft w:val="1080"/>
          <w:marRight w:val="0"/>
          <w:marTop w:val="0"/>
          <w:marBottom w:val="60"/>
          <w:divBdr>
            <w:top w:val="none" w:sz="0" w:space="0" w:color="auto"/>
            <w:left w:val="none" w:sz="0" w:space="0" w:color="auto"/>
            <w:bottom w:val="none" w:sz="0" w:space="0" w:color="auto"/>
            <w:right w:val="none" w:sz="0" w:space="0" w:color="auto"/>
          </w:divBdr>
        </w:div>
        <w:div w:id="186142696">
          <w:marLeft w:val="1080"/>
          <w:marRight w:val="0"/>
          <w:marTop w:val="0"/>
          <w:marBottom w:val="60"/>
          <w:divBdr>
            <w:top w:val="none" w:sz="0" w:space="0" w:color="auto"/>
            <w:left w:val="none" w:sz="0" w:space="0" w:color="auto"/>
            <w:bottom w:val="none" w:sz="0" w:space="0" w:color="auto"/>
            <w:right w:val="none" w:sz="0" w:space="0" w:color="auto"/>
          </w:divBdr>
        </w:div>
        <w:div w:id="427698538">
          <w:marLeft w:val="1440"/>
          <w:marRight w:val="0"/>
          <w:marTop w:val="0"/>
          <w:marBottom w:val="60"/>
          <w:divBdr>
            <w:top w:val="none" w:sz="0" w:space="0" w:color="auto"/>
            <w:left w:val="none" w:sz="0" w:space="0" w:color="auto"/>
            <w:bottom w:val="none" w:sz="0" w:space="0" w:color="auto"/>
            <w:right w:val="none" w:sz="0" w:space="0" w:color="auto"/>
          </w:divBdr>
        </w:div>
        <w:div w:id="1851292308">
          <w:marLeft w:val="1440"/>
          <w:marRight w:val="0"/>
          <w:marTop w:val="0"/>
          <w:marBottom w:val="60"/>
          <w:divBdr>
            <w:top w:val="none" w:sz="0" w:space="0" w:color="auto"/>
            <w:left w:val="none" w:sz="0" w:space="0" w:color="auto"/>
            <w:bottom w:val="none" w:sz="0" w:space="0" w:color="auto"/>
            <w:right w:val="none" w:sz="0" w:space="0" w:color="auto"/>
          </w:divBdr>
        </w:div>
        <w:div w:id="1669677381">
          <w:marLeft w:val="1440"/>
          <w:marRight w:val="0"/>
          <w:marTop w:val="0"/>
          <w:marBottom w:val="60"/>
          <w:divBdr>
            <w:top w:val="none" w:sz="0" w:space="0" w:color="auto"/>
            <w:left w:val="none" w:sz="0" w:space="0" w:color="auto"/>
            <w:bottom w:val="none" w:sz="0" w:space="0" w:color="auto"/>
            <w:right w:val="none" w:sz="0" w:space="0" w:color="auto"/>
          </w:divBdr>
        </w:div>
        <w:div w:id="65809986">
          <w:marLeft w:val="1080"/>
          <w:marRight w:val="0"/>
          <w:marTop w:val="0"/>
          <w:marBottom w:val="60"/>
          <w:divBdr>
            <w:top w:val="none" w:sz="0" w:space="0" w:color="auto"/>
            <w:left w:val="none" w:sz="0" w:space="0" w:color="auto"/>
            <w:bottom w:val="none" w:sz="0" w:space="0" w:color="auto"/>
            <w:right w:val="none" w:sz="0" w:space="0" w:color="auto"/>
          </w:divBdr>
        </w:div>
        <w:div w:id="653727343">
          <w:marLeft w:val="1440"/>
          <w:marRight w:val="0"/>
          <w:marTop w:val="0"/>
          <w:marBottom w:val="60"/>
          <w:divBdr>
            <w:top w:val="none" w:sz="0" w:space="0" w:color="auto"/>
            <w:left w:val="none" w:sz="0" w:space="0" w:color="auto"/>
            <w:bottom w:val="none" w:sz="0" w:space="0" w:color="auto"/>
            <w:right w:val="none" w:sz="0" w:space="0" w:color="auto"/>
          </w:divBdr>
        </w:div>
        <w:div w:id="41254039">
          <w:marLeft w:val="1440"/>
          <w:marRight w:val="0"/>
          <w:marTop w:val="0"/>
          <w:marBottom w:val="60"/>
          <w:divBdr>
            <w:top w:val="none" w:sz="0" w:space="0" w:color="auto"/>
            <w:left w:val="none" w:sz="0" w:space="0" w:color="auto"/>
            <w:bottom w:val="none" w:sz="0" w:space="0" w:color="auto"/>
            <w:right w:val="none" w:sz="0" w:space="0" w:color="auto"/>
          </w:divBdr>
        </w:div>
        <w:div w:id="1624382109">
          <w:marLeft w:val="720"/>
          <w:marRight w:val="0"/>
          <w:marTop w:val="0"/>
          <w:marBottom w:val="60"/>
          <w:divBdr>
            <w:top w:val="none" w:sz="0" w:space="0" w:color="auto"/>
            <w:left w:val="none" w:sz="0" w:space="0" w:color="auto"/>
            <w:bottom w:val="none" w:sz="0" w:space="0" w:color="auto"/>
            <w:right w:val="none" w:sz="0" w:space="0" w:color="auto"/>
          </w:divBdr>
        </w:div>
        <w:div w:id="271937594">
          <w:marLeft w:val="1080"/>
          <w:marRight w:val="0"/>
          <w:marTop w:val="0"/>
          <w:marBottom w:val="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7305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5AIRPNAIUNRU-1830940522-3293</_dlc_DocId>
    <_dlc_DocIdUrl xmlns="71c5aaf6-e6ce-465b-b873-5148d2a4c105">
      <Url>https://nokia.sharepoint.com/sites/c5g/5gradio/_layouts/15/DocIdRedir.aspx?ID=5AIRPNAIUNRU-1830940522-3293</Url>
      <Description>5AIRPNAIUNRU-1830940522-3293</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1DC53-6977-4C3A-B59D-08160AD85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9C1104BE-9A66-4B96-9B5D-977AA0E67ADF}">
  <ds:schemaRefs>
    <ds:schemaRef ds:uri="Microsoft.SharePoint.Taxonomy.ContentTypeSync"/>
  </ds:schemaRefs>
</ds:datastoreItem>
</file>

<file path=customXml/itemProps6.xml><?xml version="1.0" encoding="utf-8"?>
<ds:datastoreItem xmlns:ds="http://schemas.openxmlformats.org/officeDocument/2006/customXml" ds:itemID="{3101FB0D-651F-40F4-8BCF-F270B479F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3541</TotalTime>
  <Pages>4</Pages>
  <Words>1914</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Ye, Sigen (Nokia - US/Murray Hill)</cp:lastModifiedBy>
  <cp:revision>29</cp:revision>
  <cp:lastPrinted>2016-06-20T11:35:00Z</cp:lastPrinted>
  <dcterms:created xsi:type="dcterms:W3CDTF">2018-02-15T14:31:00Z</dcterms:created>
  <dcterms:modified xsi:type="dcterms:W3CDTF">2018-05-11T23:26:00Z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3c5891bd-75aa-495b-aaa2-f4ae6996a207</vt:lpwstr>
  </property>
</Properties>
</file>